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4107C" w:rsidRPr="00F4107C">
        <w:tc>
          <w:tcPr>
            <w:tcW w:w="4677" w:type="dxa"/>
            <w:tcBorders>
              <w:top w:val="nil"/>
              <w:left w:val="nil"/>
              <w:bottom w:val="nil"/>
              <w:right w:val="nil"/>
            </w:tcBorders>
          </w:tcPr>
          <w:p w:rsidR="00F4107C" w:rsidRPr="00F4107C" w:rsidRDefault="00F4107C">
            <w:pPr>
              <w:pStyle w:val="ConsPlusNormal"/>
              <w:outlineLvl w:val="0"/>
              <w:rPr>
                <w:rFonts w:ascii="Times New Roman" w:hAnsi="Times New Roman" w:cs="Times New Roman"/>
                <w:sz w:val="28"/>
                <w:szCs w:val="28"/>
              </w:rPr>
            </w:pPr>
            <w:r w:rsidRPr="00F4107C">
              <w:rPr>
                <w:rFonts w:ascii="Times New Roman" w:hAnsi="Times New Roman" w:cs="Times New Roman"/>
                <w:sz w:val="28"/>
                <w:szCs w:val="28"/>
              </w:rPr>
              <w:t>21 декабря 2017 года</w:t>
            </w:r>
          </w:p>
        </w:tc>
        <w:tc>
          <w:tcPr>
            <w:tcW w:w="4677" w:type="dxa"/>
            <w:tcBorders>
              <w:top w:val="nil"/>
              <w:left w:val="nil"/>
              <w:bottom w:val="nil"/>
              <w:right w:val="nil"/>
            </w:tcBorders>
          </w:tcPr>
          <w:p w:rsidR="00F4107C" w:rsidRPr="00F4107C" w:rsidRDefault="00F4107C">
            <w:pPr>
              <w:pStyle w:val="ConsPlusNormal"/>
              <w:jc w:val="right"/>
              <w:outlineLvl w:val="0"/>
              <w:rPr>
                <w:rFonts w:ascii="Times New Roman" w:hAnsi="Times New Roman" w:cs="Times New Roman"/>
                <w:sz w:val="28"/>
                <w:szCs w:val="28"/>
              </w:rPr>
            </w:pPr>
            <w:r w:rsidRPr="00F4107C">
              <w:rPr>
                <w:rFonts w:ascii="Times New Roman" w:hAnsi="Times New Roman" w:cs="Times New Roman"/>
                <w:sz w:val="28"/>
                <w:szCs w:val="28"/>
              </w:rPr>
              <w:t>N 618</w:t>
            </w:r>
          </w:p>
        </w:tc>
      </w:tr>
    </w:tbl>
    <w:p w:rsidR="00F4107C" w:rsidRPr="00F4107C" w:rsidRDefault="00F4107C">
      <w:pPr>
        <w:pStyle w:val="ConsPlusNormal"/>
        <w:pBdr>
          <w:top w:val="single" w:sz="6" w:space="0" w:color="auto"/>
        </w:pBdr>
        <w:spacing w:before="100" w:after="100"/>
        <w:jc w:val="both"/>
        <w:rPr>
          <w:rFonts w:ascii="Times New Roman" w:hAnsi="Times New Roman" w:cs="Times New Roman"/>
          <w:sz w:val="28"/>
          <w:szCs w:val="28"/>
        </w:rPr>
      </w:pPr>
    </w:p>
    <w:p w:rsidR="00F4107C" w:rsidRPr="00F4107C" w:rsidRDefault="00F4107C">
      <w:pPr>
        <w:pStyle w:val="ConsPlusNormal"/>
        <w:jc w:val="both"/>
        <w:rPr>
          <w:rFonts w:ascii="Times New Roman" w:hAnsi="Times New Roman" w:cs="Times New Roman"/>
          <w:sz w:val="28"/>
          <w:szCs w:val="28"/>
        </w:rPr>
      </w:pP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УКАЗ</w:t>
      </w:r>
    </w:p>
    <w:p w:rsidR="00F4107C" w:rsidRPr="00F4107C" w:rsidRDefault="00F4107C">
      <w:pPr>
        <w:pStyle w:val="ConsPlusTitle"/>
        <w:jc w:val="both"/>
        <w:rPr>
          <w:rFonts w:ascii="Times New Roman" w:hAnsi="Times New Roman" w:cs="Times New Roman"/>
          <w:sz w:val="28"/>
          <w:szCs w:val="28"/>
        </w:rPr>
      </w:pP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ПРЕЗИДЕНТА РОССИЙСКОЙ ФЕДЕРАЦИИ</w:t>
      </w:r>
    </w:p>
    <w:p w:rsidR="00F4107C" w:rsidRPr="00F4107C" w:rsidRDefault="00F4107C">
      <w:pPr>
        <w:pStyle w:val="ConsPlusTitle"/>
        <w:jc w:val="both"/>
        <w:rPr>
          <w:rFonts w:ascii="Times New Roman" w:hAnsi="Times New Roman" w:cs="Times New Roman"/>
          <w:sz w:val="28"/>
          <w:szCs w:val="28"/>
        </w:rPr>
      </w:pP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ОБ ОСНОВНЫХ НАПРАВЛЕНИЯХ</w:t>
      </w: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ГОСУДАРСТВЕННОЙ ПОЛИТИКИ ПО РАЗВИТИЮ КОНКУРЕНЦИИ</w:t>
      </w:r>
    </w:p>
    <w:p w:rsidR="00F4107C" w:rsidRPr="00F4107C" w:rsidRDefault="00F4107C">
      <w:pPr>
        <w:pStyle w:val="ConsPlusNormal"/>
        <w:jc w:val="both"/>
        <w:rPr>
          <w:rFonts w:ascii="Times New Roman" w:hAnsi="Times New Roman" w:cs="Times New Roman"/>
          <w:sz w:val="28"/>
          <w:szCs w:val="28"/>
        </w:rPr>
      </w:pPr>
    </w:p>
    <w:p w:rsidR="00F4107C" w:rsidRPr="00F4107C" w:rsidRDefault="00F4107C">
      <w:pPr>
        <w:pStyle w:val="ConsPlusNormal"/>
        <w:ind w:firstLine="540"/>
        <w:jc w:val="both"/>
        <w:rPr>
          <w:rFonts w:ascii="Times New Roman" w:hAnsi="Times New Roman" w:cs="Times New Roman"/>
          <w:sz w:val="28"/>
          <w:szCs w:val="28"/>
        </w:rPr>
      </w:pPr>
      <w:r w:rsidRPr="00F4107C">
        <w:rPr>
          <w:rFonts w:ascii="Times New Roman" w:hAnsi="Times New Roman" w:cs="Times New Roman"/>
          <w:sz w:val="28"/>
          <w:szCs w:val="28"/>
        </w:rPr>
        <w:t>В целях укрепления национальной экономики, дальнейшего развития конкуренции и недопущения монополистической деятельности постановляю:</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2. Определить, что целями совершенствования государственной политики по развитию конкуренции являются:</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повышение удовлетворенности потребителей за счет расширения ассортимента товаров, работ, услуг, повышения их качества и снижения цен;</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3. Определить в качестве основополагающих принципов государственной политики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б) обеспечение равных условий и свободы экономической деятельности на территории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lastRenderedPageBreak/>
        <w:t>в) обеспечение развития малого и среднего предпринимательства;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г) направленность государственных инвестиций на развитие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д</w:t>
      </w:r>
      <w:proofErr w:type="spellEnd"/>
      <w:r w:rsidRPr="00F4107C">
        <w:rPr>
          <w:rFonts w:ascii="Times New Roman" w:hAnsi="Times New Roman" w:cs="Times New Roman"/>
          <w:sz w:val="28"/>
          <w:szCs w:val="28"/>
        </w:rPr>
        <w:t>) обеспечение условий для привлечения инвестиций хозяйствующих субъектов в развитие товарных рынков;</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з</w:t>
      </w:r>
      <w:proofErr w:type="spellEnd"/>
      <w:r w:rsidRPr="00F4107C">
        <w:rPr>
          <w:rFonts w:ascii="Times New Roman" w:hAnsi="Times New Roman" w:cs="Times New Roman"/>
          <w:sz w:val="28"/>
          <w:szCs w:val="28"/>
        </w:rPr>
        <w:t>)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и) развитие конкуренции в сферах экономической деятельности государственных предприятий, предприятий с государственным участием;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к) сочетание превентивного и последующего контроля для целей защиты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м) открытость антимонопольной политики;</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н</w:t>
      </w:r>
      <w:proofErr w:type="spellEnd"/>
      <w:r w:rsidRPr="00F4107C">
        <w:rPr>
          <w:rFonts w:ascii="Times New Roman" w:hAnsi="Times New Roman" w:cs="Times New Roman"/>
          <w:sz w:val="28"/>
          <w:szCs w:val="28"/>
        </w:rPr>
        <w:t>)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 измеримость результатов государственной политики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п</w:t>
      </w:r>
      <w:proofErr w:type="spellEnd"/>
      <w:r w:rsidRPr="00F4107C">
        <w:rPr>
          <w:rFonts w:ascii="Times New Roman" w:hAnsi="Times New Roman" w:cs="Times New Roman"/>
          <w:sz w:val="28"/>
          <w:szCs w:val="28"/>
        </w:rPr>
        <w:t>) стимулирование со стороны государства добросовестных практик осуществления хозяйственной деятельности;</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proofErr w:type="gramStart"/>
      <w:r w:rsidRPr="00F4107C">
        <w:rPr>
          <w:rFonts w:ascii="Times New Roman" w:hAnsi="Times New Roman" w:cs="Times New Roman"/>
          <w:sz w:val="28"/>
          <w:szCs w:val="28"/>
        </w:rPr>
        <w:t>р</w:t>
      </w:r>
      <w:proofErr w:type="spellEnd"/>
      <w:r w:rsidRPr="00F4107C">
        <w:rPr>
          <w:rFonts w:ascii="Times New Roman" w:hAnsi="Times New Roman" w:cs="Times New Roman"/>
          <w:sz w:val="28"/>
          <w:szCs w:val="28"/>
        </w:rPr>
        <w:t>) развитие организованной (биржевой) торговли в Российской Федерации;</w:t>
      </w:r>
      <w:proofErr w:type="gramEnd"/>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с) информационная открытость деятельности инфраструктурных монополий;</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у) внедрение </w:t>
      </w:r>
      <w:proofErr w:type="spellStart"/>
      <w:proofErr w:type="gramStart"/>
      <w:r w:rsidRPr="00F4107C">
        <w:rPr>
          <w:rFonts w:ascii="Times New Roman" w:hAnsi="Times New Roman" w:cs="Times New Roman"/>
          <w:sz w:val="28"/>
          <w:szCs w:val="28"/>
        </w:rPr>
        <w:t>риск-ориентированного</w:t>
      </w:r>
      <w:proofErr w:type="spellEnd"/>
      <w:proofErr w:type="gramEnd"/>
      <w:r w:rsidRPr="00F4107C">
        <w:rPr>
          <w:rFonts w:ascii="Times New Roman" w:hAnsi="Times New Roman" w:cs="Times New Roman"/>
          <w:sz w:val="28"/>
          <w:szCs w:val="28"/>
        </w:rPr>
        <w:t xml:space="preserve"> подхода в деятельности органов государственного контроля (надзора);</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lastRenderedPageBreak/>
        <w:t>ф</w:t>
      </w:r>
      <w:proofErr w:type="spellEnd"/>
      <w:r w:rsidRPr="00F4107C">
        <w:rPr>
          <w:rFonts w:ascii="Times New Roman" w:hAnsi="Times New Roman" w:cs="Times New Roman"/>
          <w:sz w:val="28"/>
          <w:szCs w:val="28"/>
        </w:rPr>
        <w:t>)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4. Определить основополагающими принципами осуществления деятельности федеральных органов исполнительной власти: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 xml:space="preserve">5. Утвердить прилагаемый Национальный </w:t>
      </w:r>
      <w:hyperlink w:anchor="P74" w:history="1">
        <w:r w:rsidRPr="00280466">
          <w:rPr>
            <w:rFonts w:ascii="Times New Roman" w:hAnsi="Times New Roman" w:cs="Times New Roman"/>
            <w:sz w:val="28"/>
            <w:szCs w:val="28"/>
            <w:highlight w:val="yellow"/>
          </w:rPr>
          <w:t>план</w:t>
        </w:r>
      </w:hyperlink>
      <w:r w:rsidRPr="00280466">
        <w:rPr>
          <w:rFonts w:ascii="Times New Roman" w:hAnsi="Times New Roman" w:cs="Times New Roman"/>
          <w:sz w:val="28"/>
          <w:szCs w:val="28"/>
          <w:highlight w:val="yellow"/>
        </w:rPr>
        <w:t xml:space="preserve"> развития конкуренции в Российской Федерации на 2018 - 2020 годы (далее - Национальный план).</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sidRPr="00F4107C">
          <w:rPr>
            <w:rFonts w:ascii="Times New Roman" w:hAnsi="Times New Roman" w:cs="Times New Roman"/>
            <w:sz w:val="28"/>
            <w:szCs w:val="28"/>
          </w:rPr>
          <w:t>планом</w:t>
        </w:r>
      </w:hyperlink>
      <w:r w:rsidRPr="00F4107C">
        <w:rPr>
          <w:rFonts w:ascii="Times New Roman" w:hAnsi="Times New Roman" w:cs="Times New Roman"/>
          <w:sz w:val="28"/>
          <w:szCs w:val="28"/>
        </w:rPr>
        <w:t>.</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7. </w:t>
      </w:r>
      <w:r w:rsidRPr="00280466">
        <w:rPr>
          <w:rFonts w:ascii="Times New Roman" w:hAnsi="Times New Roman" w:cs="Times New Roman"/>
          <w:sz w:val="28"/>
          <w:szCs w:val="28"/>
          <w:highlight w:val="yellow"/>
        </w:rPr>
        <w:t>Высшим должностным лицам</w:t>
      </w:r>
      <w:r w:rsidRPr="00F4107C">
        <w:rPr>
          <w:rFonts w:ascii="Times New Roman" w:hAnsi="Times New Roman" w:cs="Times New Roman"/>
          <w:sz w:val="28"/>
          <w:szCs w:val="28"/>
        </w:rPr>
        <w:t xml:space="preserve"> (руководителям высших исполнительных органов государственной власти) </w:t>
      </w:r>
      <w:r w:rsidRPr="00280466">
        <w:rPr>
          <w:rFonts w:ascii="Times New Roman" w:hAnsi="Times New Roman" w:cs="Times New Roman"/>
          <w:sz w:val="28"/>
          <w:szCs w:val="28"/>
          <w:highlight w:val="yellow"/>
        </w:rPr>
        <w:t>субъектов</w:t>
      </w:r>
      <w:r w:rsidRPr="00F4107C">
        <w:rPr>
          <w:rFonts w:ascii="Times New Roman" w:hAnsi="Times New Roman" w:cs="Times New Roman"/>
          <w:sz w:val="28"/>
          <w:szCs w:val="28"/>
        </w:rPr>
        <w:t xml:space="preserve"> Российской Федерации </w:t>
      </w:r>
      <w:r w:rsidRPr="00280466">
        <w:rPr>
          <w:rFonts w:ascii="Times New Roman" w:hAnsi="Times New Roman" w:cs="Times New Roman"/>
          <w:sz w:val="28"/>
          <w:szCs w:val="28"/>
          <w:highlight w:val="yellow"/>
        </w:rPr>
        <w:t>активизировать работу по развитию конкуренции в субъектах</w:t>
      </w:r>
      <w:r w:rsidRPr="00F4107C">
        <w:rPr>
          <w:rFonts w:ascii="Times New Roman" w:hAnsi="Times New Roman" w:cs="Times New Roman"/>
          <w:sz w:val="28"/>
          <w:szCs w:val="28"/>
        </w:rPr>
        <w:t xml:space="preserve">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8. Рекомендовать:</w:t>
      </w:r>
    </w:p>
    <w:p w:rsidR="00F4107C" w:rsidRPr="00F4107C" w:rsidRDefault="00F4107C">
      <w:pPr>
        <w:pStyle w:val="ConsPlusNormal"/>
        <w:spacing w:before="220"/>
        <w:ind w:firstLine="540"/>
        <w:jc w:val="both"/>
        <w:rPr>
          <w:rFonts w:ascii="Times New Roman" w:hAnsi="Times New Roman" w:cs="Times New Roman"/>
          <w:sz w:val="28"/>
          <w:szCs w:val="28"/>
        </w:rPr>
      </w:pPr>
      <w:proofErr w:type="gramStart"/>
      <w:r w:rsidRPr="00F4107C">
        <w:rPr>
          <w:rFonts w:ascii="Times New Roman" w:hAnsi="Times New Roman" w:cs="Times New Roman"/>
          <w:sz w:val="28"/>
          <w:szCs w:val="28"/>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rsidRPr="00F4107C">
        <w:rPr>
          <w:rFonts w:ascii="Times New Roman" w:hAnsi="Times New Roman" w:cs="Times New Roman"/>
          <w:sz w:val="28"/>
          <w:szCs w:val="28"/>
        </w:rPr>
        <w:t>пресечения</w:t>
      </w:r>
      <w:proofErr w:type="gramEnd"/>
      <w:r w:rsidRPr="00F4107C">
        <w:rPr>
          <w:rFonts w:ascii="Times New Roman" w:hAnsi="Times New Roman" w:cs="Times New Roman"/>
          <w:sz w:val="28"/>
          <w:szCs w:val="28"/>
        </w:rPr>
        <w:t xml:space="preserve"> ограничивающих конкуренцию соглашений (картелей), запрещенных в соответствии с антимонопольным законодательством;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в) </w:t>
      </w:r>
      <w:r w:rsidRPr="00280466">
        <w:rPr>
          <w:rFonts w:ascii="Times New Roman" w:hAnsi="Times New Roman" w:cs="Times New Roman"/>
          <w:sz w:val="28"/>
          <w:szCs w:val="28"/>
          <w:highlight w:val="yellow"/>
        </w:rPr>
        <w:t>органам местного самоуправления активизировать работу по развитию конкуренции в муниципальных образованиях</w:t>
      </w:r>
      <w:r w:rsidRPr="00F4107C">
        <w:rPr>
          <w:rFonts w:ascii="Times New Roman" w:hAnsi="Times New Roman" w:cs="Times New Roman"/>
          <w:sz w:val="28"/>
          <w:szCs w:val="28"/>
        </w:rPr>
        <w:t>;</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lastRenderedPageBreak/>
        <w:t>д</w:t>
      </w:r>
      <w:proofErr w:type="spellEnd"/>
      <w:r w:rsidRPr="00F4107C">
        <w:rPr>
          <w:rFonts w:ascii="Times New Roman" w:hAnsi="Times New Roman" w:cs="Times New Roman"/>
          <w:sz w:val="28"/>
          <w:szCs w:val="28"/>
        </w:rPr>
        <w:t>)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9. </w:t>
      </w:r>
      <w:proofErr w:type="gramStart"/>
      <w:r w:rsidRPr="00F4107C">
        <w:rPr>
          <w:rFonts w:ascii="Times New Roman" w:hAnsi="Times New Roman" w:cs="Times New Roman"/>
          <w:sz w:val="28"/>
          <w:szCs w:val="28"/>
        </w:rP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4" w:history="1">
        <w:r w:rsidRPr="00F4107C">
          <w:rPr>
            <w:rFonts w:ascii="Times New Roman" w:hAnsi="Times New Roman" w:cs="Times New Roman"/>
            <w:sz w:val="28"/>
            <w:szCs w:val="28"/>
          </w:rPr>
          <w:t>стандарта</w:t>
        </w:r>
      </w:hyperlink>
      <w:r w:rsidRPr="00F4107C">
        <w:rPr>
          <w:rFonts w:ascii="Times New Roman" w:hAnsi="Times New Roman" w:cs="Times New Roman"/>
          <w:sz w:val="28"/>
          <w:szCs w:val="28"/>
        </w:rP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rsidRPr="00F4107C">
        <w:rPr>
          <w:rFonts w:ascii="Times New Roman" w:hAnsi="Times New Roman" w:cs="Times New Roman"/>
          <w:sz w:val="28"/>
          <w:szCs w:val="28"/>
        </w:rPr>
        <w:t xml:space="preserve"> 2015 г. N 1738-р.</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10. </w:t>
      </w:r>
      <w:r w:rsidRPr="00280466">
        <w:rPr>
          <w:rFonts w:ascii="Times New Roman" w:hAnsi="Times New Roman" w:cs="Times New Roman"/>
          <w:sz w:val="28"/>
          <w:szCs w:val="28"/>
          <w:highlight w:val="yellow"/>
        </w:rPr>
        <w:t xml:space="preserve">Предложить </w:t>
      </w:r>
      <w:proofErr w:type="spellStart"/>
      <w:r w:rsidRPr="00280466">
        <w:rPr>
          <w:rFonts w:ascii="Times New Roman" w:hAnsi="Times New Roman" w:cs="Times New Roman"/>
          <w:sz w:val="28"/>
          <w:szCs w:val="28"/>
          <w:highlight w:val="yellow"/>
        </w:rPr>
        <w:t>саморегулируемым</w:t>
      </w:r>
      <w:proofErr w:type="spellEnd"/>
      <w:r w:rsidRPr="00280466">
        <w:rPr>
          <w:rFonts w:ascii="Times New Roman" w:hAnsi="Times New Roman" w:cs="Times New Roman"/>
          <w:sz w:val="28"/>
          <w:szCs w:val="28"/>
          <w:highlight w:val="yellow"/>
        </w:rPr>
        <w:t xml:space="preserve"> организациям, общественным организациям, профессиональным союзам и советам потребителей</w:t>
      </w:r>
      <w:r w:rsidRPr="00F4107C">
        <w:rPr>
          <w:rFonts w:ascii="Times New Roman" w:hAnsi="Times New Roman" w:cs="Times New Roman"/>
          <w:sz w:val="28"/>
          <w:szCs w:val="28"/>
        </w:rPr>
        <w:t>:</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принять активное участие в работе совещательных органов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б) использовать механизм общественного </w:t>
      </w:r>
      <w:proofErr w:type="gramStart"/>
      <w:r w:rsidRPr="00F4107C">
        <w:rPr>
          <w:rFonts w:ascii="Times New Roman" w:hAnsi="Times New Roman" w:cs="Times New Roman"/>
          <w:sz w:val="28"/>
          <w:szCs w:val="28"/>
        </w:rPr>
        <w:t>контроля за</w:t>
      </w:r>
      <w:proofErr w:type="gramEnd"/>
      <w:r w:rsidRPr="00F4107C">
        <w:rPr>
          <w:rFonts w:ascii="Times New Roman" w:hAnsi="Times New Roman" w:cs="Times New Roman"/>
          <w:sz w:val="28"/>
          <w:szCs w:val="28"/>
        </w:rP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5" w:history="1">
        <w:r w:rsidRPr="00F4107C">
          <w:rPr>
            <w:rFonts w:ascii="Times New Roman" w:hAnsi="Times New Roman" w:cs="Times New Roman"/>
            <w:sz w:val="28"/>
            <w:szCs w:val="28"/>
          </w:rPr>
          <w:t>пунктом 10 части 2 статьи 23</w:t>
        </w:r>
      </w:hyperlink>
      <w:r w:rsidRPr="00F4107C">
        <w:rPr>
          <w:rFonts w:ascii="Times New Roman" w:hAnsi="Times New Roman" w:cs="Times New Roman"/>
          <w:sz w:val="28"/>
          <w:szCs w:val="28"/>
        </w:rPr>
        <w:t xml:space="preserve"> Федерального закона "О защите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д</w:t>
      </w:r>
      <w:proofErr w:type="spellEnd"/>
      <w:r w:rsidRPr="00F4107C">
        <w:rPr>
          <w:rFonts w:ascii="Times New Roman" w:hAnsi="Times New Roman" w:cs="Times New Roman"/>
          <w:sz w:val="28"/>
          <w:szCs w:val="28"/>
        </w:rPr>
        <w:t>)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F4107C" w:rsidRPr="00F4107C" w:rsidRDefault="00F4107C">
      <w:pPr>
        <w:pStyle w:val="ConsPlusNormal"/>
        <w:jc w:val="both"/>
        <w:rPr>
          <w:rFonts w:ascii="Times New Roman" w:hAnsi="Times New Roman" w:cs="Times New Roman"/>
          <w:sz w:val="28"/>
          <w:szCs w:val="28"/>
        </w:rPr>
      </w:pP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Президент</w:t>
      </w: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Российской Федерации</w:t>
      </w: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В.ПУТИН</w:t>
      </w:r>
    </w:p>
    <w:p w:rsidR="00F4107C" w:rsidRPr="00F4107C" w:rsidRDefault="00F4107C">
      <w:pPr>
        <w:pStyle w:val="ConsPlusNormal"/>
        <w:jc w:val="both"/>
        <w:rPr>
          <w:rFonts w:ascii="Times New Roman" w:hAnsi="Times New Roman" w:cs="Times New Roman"/>
          <w:sz w:val="28"/>
          <w:szCs w:val="28"/>
        </w:rPr>
      </w:pPr>
      <w:r w:rsidRPr="00F4107C">
        <w:rPr>
          <w:rFonts w:ascii="Times New Roman" w:hAnsi="Times New Roman" w:cs="Times New Roman"/>
          <w:sz w:val="28"/>
          <w:szCs w:val="28"/>
        </w:rPr>
        <w:t>Москва, Кремль</w:t>
      </w:r>
    </w:p>
    <w:p w:rsidR="00F4107C" w:rsidRPr="00F4107C" w:rsidRDefault="00F4107C">
      <w:pPr>
        <w:pStyle w:val="ConsPlusNormal"/>
        <w:spacing w:before="220"/>
        <w:jc w:val="both"/>
        <w:rPr>
          <w:rFonts w:ascii="Times New Roman" w:hAnsi="Times New Roman" w:cs="Times New Roman"/>
          <w:sz w:val="28"/>
          <w:szCs w:val="28"/>
        </w:rPr>
      </w:pPr>
      <w:r w:rsidRPr="00F4107C">
        <w:rPr>
          <w:rFonts w:ascii="Times New Roman" w:hAnsi="Times New Roman" w:cs="Times New Roman"/>
          <w:sz w:val="28"/>
          <w:szCs w:val="28"/>
        </w:rPr>
        <w:t>21 декабря 2017 года</w:t>
      </w:r>
    </w:p>
    <w:p w:rsidR="00F4107C" w:rsidRPr="00F4107C" w:rsidRDefault="00F4107C">
      <w:pPr>
        <w:pStyle w:val="ConsPlusNormal"/>
        <w:spacing w:before="220"/>
        <w:jc w:val="both"/>
        <w:rPr>
          <w:rFonts w:ascii="Times New Roman" w:hAnsi="Times New Roman" w:cs="Times New Roman"/>
          <w:sz w:val="28"/>
          <w:szCs w:val="28"/>
        </w:rPr>
      </w:pPr>
      <w:r w:rsidRPr="00F4107C">
        <w:rPr>
          <w:rFonts w:ascii="Times New Roman" w:hAnsi="Times New Roman" w:cs="Times New Roman"/>
          <w:sz w:val="28"/>
          <w:szCs w:val="28"/>
        </w:rPr>
        <w:t>N 618</w:t>
      </w:r>
    </w:p>
    <w:p w:rsidR="00F4107C" w:rsidRPr="00F4107C" w:rsidRDefault="00F4107C">
      <w:pPr>
        <w:pStyle w:val="ConsPlusNormal"/>
        <w:jc w:val="right"/>
        <w:outlineLvl w:val="0"/>
        <w:rPr>
          <w:rFonts w:ascii="Times New Roman" w:hAnsi="Times New Roman" w:cs="Times New Roman"/>
          <w:sz w:val="28"/>
          <w:szCs w:val="28"/>
        </w:rPr>
      </w:pPr>
      <w:r w:rsidRPr="00F4107C">
        <w:rPr>
          <w:rFonts w:ascii="Times New Roman" w:hAnsi="Times New Roman" w:cs="Times New Roman"/>
          <w:sz w:val="28"/>
          <w:szCs w:val="28"/>
        </w:rPr>
        <w:lastRenderedPageBreak/>
        <w:t>Утвержден</w:t>
      </w: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Указом Президента</w:t>
      </w: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Российской Федерации</w:t>
      </w:r>
    </w:p>
    <w:p w:rsidR="00F4107C" w:rsidRPr="00F4107C" w:rsidRDefault="00F4107C">
      <w:pPr>
        <w:pStyle w:val="ConsPlusNormal"/>
        <w:jc w:val="right"/>
        <w:rPr>
          <w:rFonts w:ascii="Times New Roman" w:hAnsi="Times New Roman" w:cs="Times New Roman"/>
          <w:sz w:val="28"/>
          <w:szCs w:val="28"/>
        </w:rPr>
      </w:pPr>
      <w:r w:rsidRPr="00F4107C">
        <w:rPr>
          <w:rFonts w:ascii="Times New Roman" w:hAnsi="Times New Roman" w:cs="Times New Roman"/>
          <w:sz w:val="28"/>
          <w:szCs w:val="28"/>
        </w:rPr>
        <w:t>от 21 декабря 2017 г. N 618</w:t>
      </w:r>
    </w:p>
    <w:p w:rsidR="00F4107C" w:rsidRPr="00F4107C" w:rsidRDefault="00F4107C">
      <w:pPr>
        <w:pStyle w:val="ConsPlusNormal"/>
        <w:jc w:val="both"/>
        <w:rPr>
          <w:rFonts w:ascii="Times New Roman" w:hAnsi="Times New Roman" w:cs="Times New Roman"/>
          <w:sz w:val="28"/>
          <w:szCs w:val="28"/>
        </w:rPr>
      </w:pPr>
    </w:p>
    <w:p w:rsidR="00F4107C" w:rsidRPr="00F4107C" w:rsidRDefault="00F4107C">
      <w:pPr>
        <w:pStyle w:val="ConsPlusTitle"/>
        <w:jc w:val="center"/>
        <w:rPr>
          <w:rFonts w:ascii="Times New Roman" w:hAnsi="Times New Roman" w:cs="Times New Roman"/>
          <w:sz w:val="28"/>
          <w:szCs w:val="28"/>
        </w:rPr>
      </w:pPr>
      <w:bookmarkStart w:id="0" w:name="P74"/>
      <w:bookmarkEnd w:id="0"/>
      <w:r w:rsidRPr="00F4107C">
        <w:rPr>
          <w:rFonts w:ascii="Times New Roman" w:hAnsi="Times New Roman" w:cs="Times New Roman"/>
          <w:sz w:val="28"/>
          <w:szCs w:val="28"/>
        </w:rPr>
        <w:t>НАЦИОНАЛЬНЫЙ ПЛАН</w:t>
      </w: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РАЗВИТИЯ КОНКУРЕНЦИИ В РОССИЙСКОЙ ФЕДЕРАЦИИ</w:t>
      </w:r>
    </w:p>
    <w:p w:rsidR="00F4107C" w:rsidRPr="00F4107C" w:rsidRDefault="00F4107C">
      <w:pPr>
        <w:pStyle w:val="ConsPlusTitle"/>
        <w:jc w:val="center"/>
        <w:rPr>
          <w:rFonts w:ascii="Times New Roman" w:hAnsi="Times New Roman" w:cs="Times New Roman"/>
          <w:sz w:val="28"/>
          <w:szCs w:val="28"/>
        </w:rPr>
      </w:pPr>
      <w:r w:rsidRPr="00F4107C">
        <w:rPr>
          <w:rFonts w:ascii="Times New Roman" w:hAnsi="Times New Roman" w:cs="Times New Roman"/>
          <w:sz w:val="28"/>
          <w:szCs w:val="28"/>
        </w:rPr>
        <w:t>НА 2018 - 2020 ГОДЫ</w:t>
      </w:r>
    </w:p>
    <w:p w:rsidR="00F4107C" w:rsidRPr="00F4107C" w:rsidRDefault="00F4107C">
      <w:pPr>
        <w:pStyle w:val="ConsPlusNormal"/>
        <w:jc w:val="both"/>
        <w:rPr>
          <w:rFonts w:ascii="Times New Roman" w:hAnsi="Times New Roman" w:cs="Times New Roman"/>
          <w:sz w:val="28"/>
          <w:szCs w:val="28"/>
        </w:rPr>
      </w:pPr>
    </w:p>
    <w:p w:rsidR="00F4107C" w:rsidRPr="00F4107C" w:rsidRDefault="00F4107C">
      <w:pPr>
        <w:pStyle w:val="ConsPlusNormal"/>
        <w:ind w:firstLine="540"/>
        <w:jc w:val="both"/>
        <w:rPr>
          <w:rFonts w:ascii="Times New Roman" w:hAnsi="Times New Roman" w:cs="Times New Roman"/>
          <w:sz w:val="28"/>
          <w:szCs w:val="28"/>
        </w:rPr>
      </w:pPr>
      <w:r w:rsidRPr="00F4107C">
        <w:rPr>
          <w:rFonts w:ascii="Times New Roman" w:hAnsi="Times New Roman" w:cs="Times New Roman"/>
          <w:sz w:val="28"/>
          <w:szCs w:val="28"/>
        </w:rPr>
        <w:t>1. Мероприятия настоящего Национального плана направлены на достижение следующих ключевых показателей:</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F4107C" w:rsidRPr="00F4107C" w:rsidRDefault="00F4107C">
      <w:pPr>
        <w:pStyle w:val="ConsPlusNormal"/>
        <w:spacing w:before="220"/>
        <w:ind w:firstLine="540"/>
        <w:jc w:val="both"/>
        <w:rPr>
          <w:rFonts w:ascii="Times New Roman" w:hAnsi="Times New Roman" w:cs="Times New Roman"/>
          <w:sz w:val="28"/>
          <w:szCs w:val="28"/>
        </w:rPr>
      </w:pPr>
      <w:proofErr w:type="gramStart"/>
      <w:r w:rsidRPr="00F4107C">
        <w:rPr>
          <w:rFonts w:ascii="Times New Roman" w:hAnsi="Times New Roman" w:cs="Times New Roman"/>
          <w:sz w:val="28"/>
          <w:szCs w:val="28"/>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2. В целях реализации основных направлений государственной политики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Правительству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до 1 октября 2018 г.:</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обеспечить принятие правил </w:t>
      </w:r>
      <w:proofErr w:type="spellStart"/>
      <w:r w:rsidRPr="00F4107C">
        <w:rPr>
          <w:rFonts w:ascii="Times New Roman" w:hAnsi="Times New Roman" w:cs="Times New Roman"/>
          <w:sz w:val="28"/>
          <w:szCs w:val="28"/>
        </w:rPr>
        <w:t>недискриминационного</w:t>
      </w:r>
      <w:proofErr w:type="spellEnd"/>
      <w:r w:rsidRPr="00F4107C">
        <w:rPr>
          <w:rFonts w:ascii="Times New Roman" w:hAnsi="Times New Roman" w:cs="Times New Roman"/>
          <w:sz w:val="28"/>
          <w:szCs w:val="28"/>
        </w:rPr>
        <w:t xml:space="preserve"> доступа на товарные рынки услуг общедоступной почтовой связи и портов, предоставляемых субъектами естественных монополий;</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до 1 июля 2018 г.:</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утвердить планы мероприятий по развитию конкуренции на 2018 - 2020 годы</w:t>
      </w:r>
      <w:r w:rsidRPr="00F4107C">
        <w:rPr>
          <w:rFonts w:ascii="Times New Roman" w:hAnsi="Times New Roman" w:cs="Times New Roman"/>
          <w:sz w:val="28"/>
          <w:szCs w:val="28"/>
        </w:rPr>
        <w:t xml:space="preserve"> в отраслях экономики Российской Федерации </w:t>
      </w:r>
      <w:r w:rsidRPr="00280466">
        <w:rPr>
          <w:rFonts w:ascii="Times New Roman" w:hAnsi="Times New Roman" w:cs="Times New Roman"/>
          <w:sz w:val="28"/>
          <w:szCs w:val="28"/>
          <w:highlight w:val="yellow"/>
        </w:rPr>
        <w:t>с определением в них перечней ключевых показателей</w:t>
      </w:r>
      <w:r w:rsidRPr="00F4107C">
        <w:rPr>
          <w:rFonts w:ascii="Times New Roman" w:hAnsi="Times New Roman" w:cs="Times New Roman"/>
          <w:sz w:val="28"/>
          <w:szCs w:val="28"/>
        </w:rPr>
        <w:t xml:space="preserve">, </w:t>
      </w:r>
      <w:proofErr w:type="gramStart"/>
      <w:r w:rsidRPr="00F4107C">
        <w:rPr>
          <w:rFonts w:ascii="Times New Roman" w:hAnsi="Times New Roman" w:cs="Times New Roman"/>
          <w:sz w:val="28"/>
          <w:szCs w:val="28"/>
        </w:rPr>
        <w:t>обеспечивающих</w:t>
      </w:r>
      <w:proofErr w:type="gramEnd"/>
      <w:r w:rsidRPr="00F4107C">
        <w:rPr>
          <w:rFonts w:ascii="Times New Roman" w:hAnsi="Times New Roman" w:cs="Times New Roman"/>
          <w:sz w:val="28"/>
          <w:szCs w:val="28"/>
        </w:rP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sidRPr="00F4107C">
          <w:rPr>
            <w:rFonts w:ascii="Times New Roman" w:hAnsi="Times New Roman" w:cs="Times New Roman"/>
            <w:sz w:val="28"/>
            <w:szCs w:val="28"/>
          </w:rPr>
          <w:t>приложению</w:t>
        </w:r>
      </w:hyperlink>
      <w:r w:rsidRPr="00F4107C">
        <w:rPr>
          <w:rFonts w:ascii="Times New Roman" w:hAnsi="Times New Roman" w:cs="Times New Roman"/>
          <w:sz w:val="28"/>
          <w:szCs w:val="28"/>
        </w:rPr>
        <w:t>;</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lastRenderedPageBreak/>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до 1 февраля 2019 г.:</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представить предложения по снижению уровня административных барьеров, препятствующих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утвердить план мероприятий, направленный на системное развитие организованных торгов на товарных рынках, включающий в </w:t>
      </w:r>
      <w:proofErr w:type="gramStart"/>
      <w:r w:rsidRPr="00F4107C">
        <w:rPr>
          <w:rFonts w:ascii="Times New Roman" w:hAnsi="Times New Roman" w:cs="Times New Roman"/>
          <w:sz w:val="28"/>
          <w:szCs w:val="28"/>
        </w:rPr>
        <w:t>себя</w:t>
      </w:r>
      <w:proofErr w:type="gramEnd"/>
      <w:r w:rsidRPr="00F4107C">
        <w:rPr>
          <w:rFonts w:ascii="Times New Roman" w:hAnsi="Times New Roman" w:cs="Times New Roman"/>
          <w:sz w:val="28"/>
          <w:szCs w:val="28"/>
        </w:rP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до 1 марта 2019 г.:</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принять меры по повышению эффективности деятельности антимонопольных органов, в том числе:</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обеспечить возможность сотрудников антимонопольных органов в рамках административных </w:t>
      </w:r>
      <w:proofErr w:type="gramStart"/>
      <w:r w:rsidRPr="00F4107C">
        <w:rPr>
          <w:rFonts w:ascii="Times New Roman" w:hAnsi="Times New Roman" w:cs="Times New Roman"/>
          <w:sz w:val="28"/>
          <w:szCs w:val="28"/>
        </w:rPr>
        <w:t>процедур</w:t>
      </w:r>
      <w:proofErr w:type="gramEnd"/>
      <w:r w:rsidRPr="00F4107C">
        <w:rPr>
          <w:rFonts w:ascii="Times New Roman" w:hAnsi="Times New Roman" w:cs="Times New Roman"/>
          <w:sz w:val="28"/>
          <w:szCs w:val="28"/>
        </w:rP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F4107C" w:rsidRPr="00F4107C" w:rsidRDefault="00F4107C">
      <w:pPr>
        <w:pStyle w:val="ConsPlusNormal"/>
        <w:spacing w:before="220"/>
        <w:ind w:firstLine="540"/>
        <w:jc w:val="both"/>
        <w:rPr>
          <w:rFonts w:ascii="Times New Roman" w:hAnsi="Times New Roman" w:cs="Times New Roman"/>
          <w:sz w:val="28"/>
          <w:szCs w:val="28"/>
        </w:rPr>
      </w:pPr>
      <w:proofErr w:type="gramStart"/>
      <w:r w:rsidRPr="00F4107C">
        <w:rPr>
          <w:rFonts w:ascii="Times New Roman" w:hAnsi="Times New Roman" w:cs="Times New Roman"/>
          <w:sz w:val="28"/>
          <w:szCs w:val="28"/>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правил </w:t>
      </w:r>
      <w:proofErr w:type="spellStart"/>
      <w:r w:rsidRPr="00F4107C">
        <w:rPr>
          <w:rFonts w:ascii="Times New Roman" w:hAnsi="Times New Roman" w:cs="Times New Roman"/>
          <w:sz w:val="28"/>
          <w:szCs w:val="28"/>
        </w:rPr>
        <w:t>недискриминационного</w:t>
      </w:r>
      <w:proofErr w:type="spellEnd"/>
      <w:r w:rsidRPr="00F4107C">
        <w:rPr>
          <w:rFonts w:ascii="Times New Roman" w:hAnsi="Times New Roman" w:cs="Times New Roman"/>
          <w:sz w:val="28"/>
          <w:szCs w:val="28"/>
        </w:rPr>
        <w:t xml:space="preserve"> доступа поставщиков к закупкам;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планов сокращения практики заключения договоров с "единственным поставщиком" в закупочной деятельности;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принять меры, направленные на создание и организацию системы внутреннего обеспечения соответствия требованиям антимонопольного законодательства </w:t>
      </w:r>
      <w:r w:rsidRPr="00F4107C">
        <w:rPr>
          <w:rFonts w:ascii="Times New Roman" w:hAnsi="Times New Roman" w:cs="Times New Roman"/>
          <w:sz w:val="28"/>
          <w:szCs w:val="28"/>
        </w:rPr>
        <w:lastRenderedPageBreak/>
        <w:t>деятельности федеральных органов исполнительной власти;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осуществлять ежегодно, в том числе с привлечением представителей </w:t>
      </w:r>
      <w:proofErr w:type="spellStart"/>
      <w:proofErr w:type="gramStart"/>
      <w:r w:rsidRPr="00F4107C">
        <w:rPr>
          <w:rFonts w:ascii="Times New Roman" w:hAnsi="Times New Roman" w:cs="Times New Roman"/>
          <w:sz w:val="28"/>
          <w:szCs w:val="28"/>
        </w:rPr>
        <w:t>бизнес-сообщества</w:t>
      </w:r>
      <w:proofErr w:type="spellEnd"/>
      <w:proofErr w:type="gramEnd"/>
      <w:r w:rsidRPr="00F4107C">
        <w:rPr>
          <w:rFonts w:ascii="Times New Roman" w:hAnsi="Times New Roman" w:cs="Times New Roman"/>
          <w:sz w:val="28"/>
          <w:szCs w:val="28"/>
        </w:rP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б) Федеральной антимонопольной службе:</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6" w:history="1">
        <w:r w:rsidRPr="00F4107C">
          <w:rPr>
            <w:rFonts w:ascii="Times New Roman" w:hAnsi="Times New Roman" w:cs="Times New Roman"/>
            <w:sz w:val="28"/>
            <w:szCs w:val="28"/>
          </w:rPr>
          <w:t>пунктом 10 части 2 статьи 23</w:t>
        </w:r>
      </w:hyperlink>
      <w:r w:rsidRPr="00F4107C">
        <w:rPr>
          <w:rFonts w:ascii="Times New Roman" w:hAnsi="Times New Roman" w:cs="Times New Roman"/>
          <w:sz w:val="28"/>
          <w:szCs w:val="28"/>
        </w:rPr>
        <w:t xml:space="preserve"> Федерального закона "О защите конкуренции" (далее - доклад о состоянии конкуренции), включать в него следующую информацию:</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основные проблемы, тенденции и предложения по развитию конкуренции в отдельных отраслях;</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оценка состояния конкуренции в субъектах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оценка состояния конкуренции институтами гражданского общества;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F4107C">
        <w:rPr>
          <w:rFonts w:ascii="Times New Roman" w:hAnsi="Times New Roman" w:cs="Times New Roman"/>
          <w:sz w:val="28"/>
          <w:szCs w:val="28"/>
        </w:rPr>
        <w:t>антиконкурентных</w:t>
      </w:r>
      <w:proofErr w:type="spellEnd"/>
      <w:r w:rsidRPr="00F4107C">
        <w:rPr>
          <w:rFonts w:ascii="Times New Roman" w:hAnsi="Times New Roman" w:cs="Times New Roman"/>
          <w:sz w:val="28"/>
          <w:szCs w:val="28"/>
        </w:rPr>
        <w:t xml:space="preserve"> соглашений на трансграничных рынках и недобросовестных конкурентных практик;</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в) федеральным органам исполнительной власти: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представить до 1 января 2019 г.:</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w:t>
      </w:r>
      <w:r w:rsidRPr="00F4107C">
        <w:rPr>
          <w:rFonts w:ascii="Times New Roman" w:hAnsi="Times New Roman" w:cs="Times New Roman"/>
          <w:sz w:val="28"/>
          <w:szCs w:val="28"/>
        </w:rPr>
        <w:lastRenderedPageBreak/>
        <w:t>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считать приоритетным обеспечение </w:t>
      </w:r>
      <w:proofErr w:type="spellStart"/>
      <w:r w:rsidRPr="00F4107C">
        <w:rPr>
          <w:rFonts w:ascii="Times New Roman" w:hAnsi="Times New Roman" w:cs="Times New Roman"/>
          <w:sz w:val="28"/>
          <w:szCs w:val="28"/>
        </w:rPr>
        <w:t>недискриминационного</w:t>
      </w:r>
      <w:proofErr w:type="spellEnd"/>
      <w:r w:rsidRPr="00F4107C">
        <w:rPr>
          <w:rFonts w:ascii="Times New Roman" w:hAnsi="Times New Roman" w:cs="Times New Roman"/>
          <w:sz w:val="28"/>
          <w:szCs w:val="28"/>
        </w:rPr>
        <w:t xml:space="preserve"> доступа поставщиков к закупкам товаров, работ, услуг;</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д</w:t>
      </w:r>
      <w:proofErr w:type="spellEnd"/>
      <w:r w:rsidRPr="00F4107C">
        <w:rPr>
          <w:rFonts w:ascii="Times New Roman" w:hAnsi="Times New Roman" w:cs="Times New Roman"/>
          <w:sz w:val="28"/>
          <w:szCs w:val="28"/>
        </w:rPr>
        <w:t xml:space="preserve">)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rsidRPr="00F4107C">
        <w:rPr>
          <w:rFonts w:ascii="Times New Roman" w:hAnsi="Times New Roman" w:cs="Times New Roman"/>
          <w:sz w:val="28"/>
          <w:szCs w:val="28"/>
        </w:rPr>
        <w:t>раскрытия</w:t>
      </w:r>
      <w:proofErr w:type="gramEnd"/>
      <w:r w:rsidRPr="00F4107C">
        <w:rPr>
          <w:rFonts w:ascii="Times New Roman" w:hAnsi="Times New Roman" w:cs="Times New Roman"/>
          <w:sz w:val="28"/>
          <w:szCs w:val="28"/>
        </w:rPr>
        <w:t xml:space="preserve"> ограничивающих конкуренцию соглашений (картелей), запрещенных в соответствии с антимонопольным законодательством;</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е) высшим должностным лицам (руководителям высших исполнительных органов государственной власти) субъектов Российской Федерации: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обеспечить </w:t>
      </w:r>
      <w:r w:rsidRPr="00280466">
        <w:rPr>
          <w:rFonts w:ascii="Times New Roman" w:hAnsi="Times New Roman" w:cs="Times New Roman"/>
          <w:sz w:val="28"/>
          <w:szCs w:val="28"/>
          <w:highlight w:val="yellow"/>
        </w:rPr>
        <w:t>до 1 января 2019</w:t>
      </w:r>
      <w:r w:rsidRPr="00F4107C">
        <w:rPr>
          <w:rFonts w:ascii="Times New Roman" w:hAnsi="Times New Roman" w:cs="Times New Roman"/>
          <w:sz w:val="28"/>
          <w:szCs w:val="28"/>
        </w:rPr>
        <w:t xml:space="preserve"> г. внесение </w:t>
      </w:r>
      <w:r w:rsidRPr="00280466">
        <w:rPr>
          <w:rFonts w:ascii="Times New Roman" w:hAnsi="Times New Roman" w:cs="Times New Roman"/>
          <w:sz w:val="28"/>
          <w:szCs w:val="28"/>
          <w:highlight w:val="yellow"/>
        </w:rPr>
        <w:t>изменений в положения об органах исполнительной власти субъекто</w:t>
      </w:r>
      <w:r w:rsidRPr="00F4107C">
        <w:rPr>
          <w:rFonts w:ascii="Times New Roman" w:hAnsi="Times New Roman" w:cs="Times New Roman"/>
          <w:sz w:val="28"/>
          <w:szCs w:val="28"/>
        </w:rPr>
        <w:t>в Российской Федерации, предусматривающих приоритет целей и задач по содействию развитию конкуренции на соответствующих товарных рынках;</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принять </w:t>
      </w:r>
      <w:r w:rsidRPr="00280466">
        <w:rPr>
          <w:rFonts w:ascii="Times New Roman" w:hAnsi="Times New Roman" w:cs="Times New Roman"/>
          <w:sz w:val="28"/>
          <w:szCs w:val="28"/>
          <w:highlight w:val="yellow"/>
        </w:rPr>
        <w:t>до 1 марта 2019 г</w:t>
      </w:r>
      <w:r w:rsidRPr="00F4107C">
        <w:rPr>
          <w:rFonts w:ascii="Times New Roman" w:hAnsi="Times New Roman" w:cs="Times New Roman"/>
          <w:sz w:val="28"/>
          <w:szCs w:val="28"/>
        </w:rPr>
        <w:t xml:space="preserve">. меры, направленные </w:t>
      </w:r>
      <w:r w:rsidRPr="00280466">
        <w:rPr>
          <w:rFonts w:ascii="Times New Roman" w:hAnsi="Times New Roman" w:cs="Times New Roman"/>
          <w:sz w:val="28"/>
          <w:szCs w:val="28"/>
          <w:highlight w:val="yellow"/>
        </w:rPr>
        <w:t>на создание и организацию системы внутреннего обеспечения соответствия требованиям антимонопольного законодательства</w:t>
      </w:r>
      <w:r w:rsidRPr="00F4107C">
        <w:rPr>
          <w:rFonts w:ascii="Times New Roman" w:hAnsi="Times New Roman" w:cs="Times New Roman"/>
          <w:sz w:val="28"/>
          <w:szCs w:val="28"/>
        </w:rPr>
        <w:t xml:space="preserve"> </w:t>
      </w:r>
      <w:proofErr w:type="gramStart"/>
      <w:r w:rsidRPr="00F4107C">
        <w:rPr>
          <w:rFonts w:ascii="Times New Roman" w:hAnsi="Times New Roman" w:cs="Times New Roman"/>
          <w:sz w:val="28"/>
          <w:szCs w:val="28"/>
        </w:rPr>
        <w:t xml:space="preserve">деятельности органов исполнительной власти субъектов </w:t>
      </w:r>
      <w:r w:rsidRPr="00F4107C">
        <w:rPr>
          <w:rFonts w:ascii="Times New Roman" w:hAnsi="Times New Roman" w:cs="Times New Roman"/>
          <w:sz w:val="28"/>
          <w:szCs w:val="28"/>
        </w:rPr>
        <w:lastRenderedPageBreak/>
        <w:t>Российской Федерации</w:t>
      </w:r>
      <w:proofErr w:type="gramEnd"/>
      <w:r w:rsidRPr="00F4107C">
        <w:rPr>
          <w:rFonts w:ascii="Times New Roman" w:hAnsi="Times New Roman" w:cs="Times New Roman"/>
          <w:sz w:val="28"/>
          <w:szCs w:val="28"/>
        </w:rPr>
        <w:t>;</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осуществлять взаимодействие с федеральными органами исполнительной власти в целях реализации Национального плана.</w:t>
      </w:r>
    </w:p>
    <w:p w:rsidR="00F4107C" w:rsidRPr="00F4107C" w:rsidRDefault="00F4107C">
      <w:pPr>
        <w:pStyle w:val="ConsPlusNormal"/>
        <w:spacing w:before="220"/>
        <w:ind w:firstLine="540"/>
        <w:jc w:val="both"/>
        <w:rPr>
          <w:rFonts w:ascii="Times New Roman" w:hAnsi="Times New Roman" w:cs="Times New Roman"/>
          <w:sz w:val="28"/>
          <w:szCs w:val="28"/>
        </w:rPr>
      </w:pPr>
      <w:r w:rsidRPr="00280466">
        <w:rPr>
          <w:rFonts w:ascii="Times New Roman" w:hAnsi="Times New Roman" w:cs="Times New Roman"/>
          <w:sz w:val="28"/>
          <w:szCs w:val="28"/>
          <w:highlight w:val="yellow"/>
        </w:rP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а) ограничение создания унитарных предприятий на конкурентных рынках;</w:t>
      </w:r>
    </w:p>
    <w:p w:rsidR="00F4107C" w:rsidRPr="00F4107C" w:rsidRDefault="00F4107C">
      <w:pPr>
        <w:pStyle w:val="ConsPlusNormal"/>
        <w:spacing w:before="220"/>
        <w:ind w:firstLine="540"/>
        <w:jc w:val="both"/>
        <w:rPr>
          <w:rFonts w:ascii="Times New Roman" w:hAnsi="Times New Roman" w:cs="Times New Roman"/>
          <w:sz w:val="28"/>
          <w:szCs w:val="28"/>
        </w:rPr>
      </w:pPr>
      <w:proofErr w:type="gramStart"/>
      <w:r w:rsidRPr="00F4107C">
        <w:rPr>
          <w:rFonts w:ascii="Times New Roman" w:hAnsi="Times New Roman" w:cs="Times New Roman"/>
          <w:sz w:val="28"/>
          <w:szCs w:val="28"/>
        </w:rP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rsidRPr="00F4107C">
        <w:rPr>
          <w:rFonts w:ascii="Times New Roman" w:hAnsi="Times New Roman" w:cs="Times New Roman"/>
          <w:sz w:val="28"/>
          <w:szCs w:val="28"/>
        </w:rPr>
        <w:t xml:space="preserve"> </w:t>
      </w:r>
      <w:proofErr w:type="gramStart"/>
      <w:r w:rsidRPr="00F4107C">
        <w:rPr>
          <w:rFonts w:ascii="Times New Roman" w:hAnsi="Times New Roman" w:cs="Times New Roman"/>
          <w:sz w:val="28"/>
          <w:szCs w:val="28"/>
        </w:rPr>
        <w:t>Российской Федерации или Правительства Российской Федерации);</w:t>
      </w:r>
      <w:proofErr w:type="gramEnd"/>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w:t>
      </w:r>
      <w:proofErr w:type="spellStart"/>
      <w:r w:rsidRPr="00F4107C">
        <w:rPr>
          <w:rFonts w:ascii="Times New Roman" w:hAnsi="Times New Roman" w:cs="Times New Roman"/>
          <w:sz w:val="28"/>
          <w:szCs w:val="28"/>
        </w:rPr>
        <w:t>патентообладателя</w:t>
      </w:r>
      <w:proofErr w:type="spellEnd"/>
      <w:r w:rsidRPr="00F4107C">
        <w:rPr>
          <w:rFonts w:ascii="Times New Roman" w:hAnsi="Times New Roman" w:cs="Times New Roman"/>
          <w:sz w:val="28"/>
          <w:szCs w:val="28"/>
        </w:rPr>
        <w:t xml:space="preserve"> с уведомлением его об этом в кратчайший срок и выплатой ему соразмерной компенсации;</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д</w:t>
      </w:r>
      <w:proofErr w:type="spellEnd"/>
      <w:r w:rsidRPr="00F4107C">
        <w:rPr>
          <w:rFonts w:ascii="Times New Roman" w:hAnsi="Times New Roman" w:cs="Times New Roman"/>
          <w:sz w:val="28"/>
          <w:szCs w:val="28"/>
        </w:rPr>
        <w:t>)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rsidRPr="00F4107C">
        <w:rPr>
          <w:rFonts w:ascii="Times New Roman" w:hAnsi="Times New Roman" w:cs="Times New Roman"/>
          <w:sz w:val="28"/>
          <w:szCs w:val="28"/>
        </w:rPr>
        <w:t>контроля за</w:t>
      </w:r>
      <w:proofErr w:type="gramEnd"/>
      <w:r w:rsidRPr="00F4107C">
        <w:rPr>
          <w:rFonts w:ascii="Times New Roman" w:hAnsi="Times New Roman" w:cs="Times New Roman"/>
          <w:sz w:val="28"/>
          <w:szCs w:val="28"/>
        </w:rPr>
        <w:t xml:space="preserve"> их исполнением;</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ж) правовое регулирование системы внутреннего обеспечения соответствия требованиям антимонопольного законодательства;</w:t>
      </w:r>
    </w:p>
    <w:p w:rsidR="00F4107C" w:rsidRPr="00F4107C" w:rsidRDefault="00F4107C">
      <w:pPr>
        <w:pStyle w:val="ConsPlusNormal"/>
        <w:spacing w:before="220"/>
        <w:ind w:firstLine="540"/>
        <w:jc w:val="both"/>
        <w:rPr>
          <w:rFonts w:ascii="Times New Roman" w:hAnsi="Times New Roman" w:cs="Times New Roman"/>
          <w:sz w:val="28"/>
          <w:szCs w:val="28"/>
        </w:rPr>
      </w:pPr>
      <w:proofErr w:type="spellStart"/>
      <w:r w:rsidRPr="00F4107C">
        <w:rPr>
          <w:rFonts w:ascii="Times New Roman" w:hAnsi="Times New Roman" w:cs="Times New Roman"/>
          <w:sz w:val="28"/>
          <w:szCs w:val="28"/>
        </w:rPr>
        <w:t>з</w:t>
      </w:r>
      <w:proofErr w:type="spellEnd"/>
      <w:r w:rsidRPr="00F4107C">
        <w:rPr>
          <w:rFonts w:ascii="Times New Roman" w:hAnsi="Times New Roman" w:cs="Times New Roman"/>
          <w:sz w:val="28"/>
          <w:szCs w:val="28"/>
        </w:rPr>
        <w:t xml:space="preserve">) определение основ государственного регулирования цен (тарифов) с </w:t>
      </w:r>
      <w:r w:rsidRPr="00F4107C">
        <w:rPr>
          <w:rFonts w:ascii="Times New Roman" w:hAnsi="Times New Roman" w:cs="Times New Roman"/>
          <w:sz w:val="28"/>
          <w:szCs w:val="28"/>
        </w:rPr>
        <w:lastRenderedPageBreak/>
        <w:t>использованием в качестве приоритетного метода сопоставимых рынков и долгосрочного (не менее пяти лет) периода регулирования;</w:t>
      </w:r>
    </w:p>
    <w:p w:rsidR="00F4107C" w:rsidRPr="00F4107C" w:rsidRDefault="00F4107C">
      <w:pPr>
        <w:pStyle w:val="ConsPlusNormal"/>
        <w:spacing w:before="220"/>
        <w:ind w:firstLine="540"/>
        <w:jc w:val="both"/>
        <w:rPr>
          <w:rFonts w:ascii="Times New Roman" w:hAnsi="Times New Roman" w:cs="Times New Roman"/>
          <w:sz w:val="28"/>
          <w:szCs w:val="28"/>
        </w:rPr>
      </w:pPr>
      <w:r w:rsidRPr="00F4107C">
        <w:rPr>
          <w:rFonts w:ascii="Times New Roman" w:hAnsi="Times New Roman" w:cs="Times New Roman"/>
          <w:sz w:val="28"/>
          <w:szCs w:val="28"/>
        </w:rPr>
        <w:t>и) закрепление единого порядка досудебного рассмотрения споров, связанных с установлением и (или) применением регулируемых цен (тарифов).</w:t>
      </w:r>
    </w:p>
    <w:p w:rsidR="00F4107C" w:rsidRDefault="00F4107C">
      <w:pPr>
        <w:pStyle w:val="ConsPlusNormal"/>
        <w:jc w:val="both"/>
      </w:pPr>
    </w:p>
    <w:p w:rsidR="00F4107C" w:rsidRDefault="00F4107C">
      <w:pPr>
        <w:pStyle w:val="ConsPlusNormal"/>
        <w:jc w:val="both"/>
      </w:pPr>
    </w:p>
    <w:p w:rsidR="00F4107C" w:rsidRDefault="00F4107C">
      <w:pPr>
        <w:pStyle w:val="ConsPlusNormal"/>
        <w:jc w:val="both"/>
      </w:pPr>
    </w:p>
    <w:p w:rsidR="00F4107C" w:rsidRDefault="00F4107C">
      <w:pPr>
        <w:pStyle w:val="ConsPlusNormal"/>
        <w:jc w:val="both"/>
      </w:pPr>
    </w:p>
    <w:p w:rsidR="00F4107C" w:rsidRDefault="00F4107C">
      <w:pPr>
        <w:pStyle w:val="ConsPlusNormal"/>
        <w:jc w:val="both"/>
      </w:pPr>
    </w:p>
    <w:p w:rsidR="00F4107C" w:rsidRDefault="00F4107C">
      <w:pPr>
        <w:sectPr w:rsidR="00F4107C" w:rsidSect="00F4107C">
          <w:pgSz w:w="11906" w:h="16838"/>
          <w:pgMar w:top="567" w:right="567" w:bottom="567" w:left="1134" w:header="708" w:footer="708" w:gutter="0"/>
          <w:cols w:space="708"/>
          <w:docGrid w:linePitch="360"/>
        </w:sectPr>
      </w:pPr>
    </w:p>
    <w:p w:rsidR="00F4107C" w:rsidRDefault="00F4107C">
      <w:pPr>
        <w:pStyle w:val="ConsPlusNormal"/>
        <w:jc w:val="right"/>
        <w:outlineLvl w:val="1"/>
      </w:pPr>
      <w:r>
        <w:lastRenderedPageBreak/>
        <w:t>Приложение</w:t>
      </w:r>
    </w:p>
    <w:p w:rsidR="00F4107C" w:rsidRDefault="00F4107C">
      <w:pPr>
        <w:pStyle w:val="ConsPlusNormal"/>
        <w:jc w:val="right"/>
      </w:pPr>
      <w:r>
        <w:t>к Национальному плану развития</w:t>
      </w:r>
    </w:p>
    <w:p w:rsidR="00F4107C" w:rsidRDefault="00F4107C">
      <w:pPr>
        <w:pStyle w:val="ConsPlusNormal"/>
        <w:jc w:val="right"/>
      </w:pPr>
      <w:r>
        <w:t>конкуренции в Российской Федерации</w:t>
      </w:r>
    </w:p>
    <w:p w:rsidR="00F4107C" w:rsidRDefault="00F4107C">
      <w:pPr>
        <w:pStyle w:val="ConsPlusNormal"/>
        <w:jc w:val="right"/>
      </w:pPr>
      <w:r>
        <w:t>на 2018 - 2020 годы</w:t>
      </w:r>
    </w:p>
    <w:p w:rsidR="00F4107C" w:rsidRDefault="00F4107C">
      <w:pPr>
        <w:pStyle w:val="ConsPlusNormal"/>
        <w:jc w:val="both"/>
      </w:pPr>
    </w:p>
    <w:p w:rsidR="00F4107C" w:rsidRDefault="00F4107C">
      <w:pPr>
        <w:pStyle w:val="ConsPlusTitle"/>
        <w:jc w:val="center"/>
      </w:pPr>
      <w:bookmarkStart w:id="1" w:name="P148"/>
      <w:bookmarkEnd w:id="1"/>
      <w:r>
        <w:t>ПЕРЕЧЕНЬ</w:t>
      </w:r>
    </w:p>
    <w:p w:rsidR="00F4107C" w:rsidRDefault="00F4107C">
      <w:pPr>
        <w:pStyle w:val="ConsPlusTitle"/>
        <w:jc w:val="center"/>
      </w:pPr>
      <w:r>
        <w:t>ОТРАСЛЕЙ (СФЕР) ЭКОНОМИКИ (ВИДОВ ДЕЯТЕЛЬНОСТИ) И ОЖИДАЕМЫХ</w:t>
      </w:r>
    </w:p>
    <w:p w:rsidR="00F4107C" w:rsidRDefault="00F4107C">
      <w:pPr>
        <w:pStyle w:val="ConsPlusTitle"/>
        <w:jc w:val="center"/>
      </w:pPr>
      <w:r>
        <w:t>РЕЗУЛЬТАТОВ РАЗВИТИЯ КОНКУРЕНЦИИ</w:t>
      </w:r>
    </w:p>
    <w:p w:rsidR="00F4107C" w:rsidRDefault="00F4107C">
      <w:pPr>
        <w:pStyle w:val="ConsPlusNormal"/>
        <w:jc w:val="both"/>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586"/>
        <w:gridCol w:w="4082"/>
        <w:gridCol w:w="5216"/>
      </w:tblGrid>
      <w:tr w:rsidR="00F4107C">
        <w:tc>
          <w:tcPr>
            <w:tcW w:w="586" w:type="dxa"/>
            <w:tcBorders>
              <w:top w:val="single" w:sz="4" w:space="0" w:color="auto"/>
              <w:left w:val="nil"/>
              <w:bottom w:val="single" w:sz="4" w:space="0" w:color="auto"/>
              <w:right w:val="nil"/>
            </w:tcBorders>
          </w:tcPr>
          <w:p w:rsidR="00F4107C" w:rsidRDefault="00F4107C">
            <w:pPr>
              <w:pStyle w:val="ConsPlusNormal"/>
            </w:pPr>
          </w:p>
        </w:tc>
        <w:tc>
          <w:tcPr>
            <w:tcW w:w="4082" w:type="dxa"/>
            <w:tcBorders>
              <w:top w:val="single" w:sz="4" w:space="0" w:color="auto"/>
              <w:left w:val="nil"/>
              <w:bottom w:val="single" w:sz="4" w:space="0" w:color="auto"/>
              <w:right w:val="single" w:sz="4" w:space="0" w:color="auto"/>
            </w:tcBorders>
          </w:tcPr>
          <w:p w:rsidR="00F4107C" w:rsidRDefault="00F4107C">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F4107C" w:rsidRDefault="00F4107C">
            <w:pPr>
              <w:pStyle w:val="ConsPlusNormal"/>
              <w:jc w:val="center"/>
            </w:pPr>
            <w:r>
              <w:t>Ожидаемые результаты</w:t>
            </w:r>
          </w:p>
        </w:tc>
      </w:tr>
      <w:tr w:rsidR="00F4107C">
        <w:tblPrEx>
          <w:tblBorders>
            <w:right w:val="none" w:sz="0" w:space="0" w:color="auto"/>
            <w:insideH w:val="none" w:sz="0" w:space="0" w:color="auto"/>
          </w:tblBorders>
        </w:tblPrEx>
        <w:tc>
          <w:tcPr>
            <w:tcW w:w="586" w:type="dxa"/>
            <w:tcBorders>
              <w:top w:val="single" w:sz="4" w:space="0" w:color="auto"/>
              <w:left w:val="nil"/>
              <w:bottom w:val="nil"/>
              <w:right w:val="nil"/>
            </w:tcBorders>
          </w:tcPr>
          <w:p w:rsidR="00F4107C" w:rsidRDefault="00F4107C">
            <w:pPr>
              <w:pStyle w:val="ConsPlusNormal"/>
              <w:jc w:val="center"/>
            </w:pPr>
            <w:r>
              <w:t>1.</w:t>
            </w:r>
          </w:p>
        </w:tc>
        <w:tc>
          <w:tcPr>
            <w:tcW w:w="4082" w:type="dxa"/>
            <w:tcBorders>
              <w:top w:val="single" w:sz="4" w:space="0" w:color="auto"/>
              <w:left w:val="nil"/>
              <w:bottom w:val="nil"/>
              <w:right w:val="nil"/>
            </w:tcBorders>
          </w:tcPr>
          <w:p w:rsidR="00F4107C" w:rsidRDefault="00F4107C">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F4107C" w:rsidRDefault="00F4107C">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F4107C" w:rsidRDefault="00F4107C">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F4107C" w:rsidRDefault="00F4107C">
            <w:pPr>
              <w:pStyle w:val="ConsPlusNormal"/>
            </w:pPr>
            <w:r>
              <w:t xml:space="preserve">обеспечение </w:t>
            </w:r>
            <w:proofErr w:type="spellStart"/>
            <w:r>
              <w:t>недискриминационного</w:t>
            </w:r>
            <w:proofErr w:type="spellEnd"/>
            <w:r>
              <w:t xml:space="preserve">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2.</w:t>
            </w:r>
          </w:p>
        </w:tc>
        <w:tc>
          <w:tcPr>
            <w:tcW w:w="4082" w:type="dxa"/>
            <w:tcBorders>
              <w:top w:val="nil"/>
              <w:left w:val="nil"/>
              <w:bottom w:val="nil"/>
              <w:right w:val="nil"/>
            </w:tcBorders>
          </w:tcPr>
          <w:p w:rsidR="00F4107C" w:rsidRDefault="00F4107C">
            <w:pPr>
              <w:pStyle w:val="ConsPlusNormal"/>
            </w:pPr>
            <w:r>
              <w:t>Рынок социальных услуг</w:t>
            </w:r>
          </w:p>
        </w:tc>
        <w:tc>
          <w:tcPr>
            <w:tcW w:w="5216" w:type="dxa"/>
            <w:tcBorders>
              <w:top w:val="nil"/>
              <w:left w:val="nil"/>
              <w:bottom w:val="nil"/>
              <w:right w:val="nil"/>
            </w:tcBorders>
          </w:tcPr>
          <w:p w:rsidR="00F4107C" w:rsidRDefault="00F4107C">
            <w:pPr>
              <w:pStyle w:val="ConsPlusNormal"/>
            </w:pPr>
            <w:r>
              <w:t xml:space="preserve">обеспечение возможности участия в оказании социальных услуг негосударственным организациям на </w:t>
            </w:r>
            <w:proofErr w:type="spellStart"/>
            <w:r>
              <w:t>недискриминационной</w:t>
            </w:r>
            <w:proofErr w:type="spellEnd"/>
            <w:r>
              <w:t xml:space="preserve"> основе</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3.</w:t>
            </w:r>
          </w:p>
        </w:tc>
        <w:tc>
          <w:tcPr>
            <w:tcW w:w="4082" w:type="dxa"/>
            <w:tcBorders>
              <w:top w:val="nil"/>
              <w:left w:val="nil"/>
              <w:bottom w:val="nil"/>
              <w:right w:val="nil"/>
            </w:tcBorders>
          </w:tcPr>
          <w:p w:rsidR="00F4107C" w:rsidRDefault="00F4107C">
            <w:pPr>
              <w:pStyle w:val="ConsPlusNormal"/>
            </w:pPr>
            <w:r>
              <w:t>Агропромышленный комплекс</w:t>
            </w:r>
          </w:p>
        </w:tc>
        <w:tc>
          <w:tcPr>
            <w:tcW w:w="5216" w:type="dxa"/>
            <w:tcBorders>
              <w:top w:val="nil"/>
              <w:left w:val="nil"/>
              <w:bottom w:val="nil"/>
              <w:right w:val="nil"/>
            </w:tcBorders>
          </w:tcPr>
          <w:p w:rsidR="00F4107C" w:rsidRDefault="00F4107C">
            <w:pPr>
              <w:pStyle w:val="ConsPlusNormal"/>
            </w:pPr>
            <w:proofErr w:type="gramStart"/>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w:t>
            </w:r>
            <w:r>
              <w:lastRenderedPageBreak/>
              <w:t xml:space="preserve">организованных торгах, снижение зависимости внутреннего рынка от иностранного селекционного и генетического материалов и связанных с ними </w:t>
            </w:r>
            <w:proofErr w:type="spellStart"/>
            <w:r>
              <w:t>агротехнологических</w:t>
            </w:r>
            <w:proofErr w:type="spellEnd"/>
            <w:r>
              <w:t xml:space="preserve"> решений</w:t>
            </w:r>
            <w:proofErr w:type="gramEnd"/>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lastRenderedPageBreak/>
              <w:t>4.</w:t>
            </w:r>
          </w:p>
        </w:tc>
        <w:tc>
          <w:tcPr>
            <w:tcW w:w="4082" w:type="dxa"/>
            <w:tcBorders>
              <w:top w:val="nil"/>
              <w:left w:val="nil"/>
              <w:bottom w:val="nil"/>
              <w:right w:val="nil"/>
            </w:tcBorders>
          </w:tcPr>
          <w:p w:rsidR="00F4107C" w:rsidRDefault="00F4107C">
            <w:pPr>
              <w:pStyle w:val="ConsPlusNormal"/>
            </w:pPr>
            <w:r>
              <w:t>Дорожное строительство</w:t>
            </w:r>
          </w:p>
        </w:tc>
        <w:tc>
          <w:tcPr>
            <w:tcW w:w="5216" w:type="dxa"/>
            <w:tcBorders>
              <w:top w:val="nil"/>
              <w:left w:val="nil"/>
              <w:bottom w:val="nil"/>
              <w:right w:val="nil"/>
            </w:tcBorders>
          </w:tcPr>
          <w:p w:rsidR="00F4107C" w:rsidRDefault="00F4107C">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F4107C" w:rsidRDefault="00F4107C">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5.</w:t>
            </w:r>
          </w:p>
        </w:tc>
        <w:tc>
          <w:tcPr>
            <w:tcW w:w="4082" w:type="dxa"/>
            <w:tcBorders>
              <w:top w:val="nil"/>
              <w:left w:val="nil"/>
              <w:bottom w:val="nil"/>
              <w:right w:val="nil"/>
            </w:tcBorders>
          </w:tcPr>
          <w:p w:rsidR="00F4107C" w:rsidRDefault="00F4107C">
            <w:pPr>
              <w:pStyle w:val="ConsPlusNormal"/>
            </w:pPr>
            <w:r>
              <w:t>Телекоммуникации</w:t>
            </w:r>
          </w:p>
        </w:tc>
        <w:tc>
          <w:tcPr>
            <w:tcW w:w="5216" w:type="dxa"/>
            <w:tcBorders>
              <w:top w:val="nil"/>
              <w:left w:val="nil"/>
              <w:bottom w:val="nil"/>
              <w:right w:val="nil"/>
            </w:tcBorders>
          </w:tcPr>
          <w:p w:rsidR="00F4107C" w:rsidRDefault="00F4107C">
            <w:pPr>
              <w:pStyle w:val="ConsPlusNormal"/>
            </w:pPr>
            <w:r>
              <w:t xml:space="preserve">обеспечение формирования инновационных инфраструктур на принципах установления </w:t>
            </w:r>
            <w:proofErr w:type="spellStart"/>
            <w:r>
              <w:t>недискриминационных</w:t>
            </w:r>
            <w:proofErr w:type="spellEnd"/>
            <w:r>
              <w:t xml:space="preserve"> требований для участников рынков вне зависимости от технологий, используемых при оказании услуг в сфере связи.</w:t>
            </w:r>
          </w:p>
          <w:p w:rsidR="00F4107C" w:rsidRDefault="00F4107C">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F4107C" w:rsidRDefault="00F4107C">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6.</w:t>
            </w:r>
          </w:p>
        </w:tc>
        <w:tc>
          <w:tcPr>
            <w:tcW w:w="4082" w:type="dxa"/>
            <w:tcBorders>
              <w:top w:val="nil"/>
              <w:left w:val="nil"/>
              <w:bottom w:val="nil"/>
              <w:right w:val="nil"/>
            </w:tcBorders>
          </w:tcPr>
          <w:p w:rsidR="00F4107C" w:rsidRDefault="00F4107C">
            <w:pPr>
              <w:pStyle w:val="ConsPlusNormal"/>
            </w:pPr>
            <w:r>
              <w:t>Информационные технологии</w:t>
            </w:r>
          </w:p>
        </w:tc>
        <w:tc>
          <w:tcPr>
            <w:tcW w:w="5216" w:type="dxa"/>
            <w:tcBorders>
              <w:top w:val="nil"/>
              <w:left w:val="nil"/>
              <w:bottom w:val="nil"/>
              <w:right w:val="nil"/>
            </w:tcBorders>
          </w:tcPr>
          <w:p w:rsidR="00F4107C" w:rsidRDefault="00F4107C">
            <w:pPr>
              <w:pStyle w:val="ConsPlusNormal"/>
            </w:pPr>
            <w:r>
              <w:t xml:space="preserve">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w:t>
            </w:r>
            <w:r>
              <w:lastRenderedPageBreak/>
              <w:t>безопасность), включая предоставление услуг в формате облачных сервисов, не менее чем на 10 процентов ежегодно</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lastRenderedPageBreak/>
              <w:t>7.</w:t>
            </w:r>
          </w:p>
        </w:tc>
        <w:tc>
          <w:tcPr>
            <w:tcW w:w="4082" w:type="dxa"/>
            <w:tcBorders>
              <w:top w:val="nil"/>
              <w:left w:val="nil"/>
              <w:bottom w:val="nil"/>
              <w:right w:val="nil"/>
            </w:tcBorders>
          </w:tcPr>
          <w:p w:rsidR="00F4107C" w:rsidRDefault="00F4107C">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F4107C" w:rsidRDefault="00F4107C">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F4107C" w:rsidRDefault="00F4107C">
            <w:pPr>
              <w:pStyle w:val="ConsPlusNormal"/>
            </w:pPr>
            <w:r>
              <w:t>теплоснабжение - до 20 процентов в 2019 году и до 10 процентов в 2020 году;</w:t>
            </w:r>
          </w:p>
          <w:p w:rsidR="00F4107C" w:rsidRDefault="00F4107C">
            <w:pPr>
              <w:pStyle w:val="ConsPlusNormal"/>
            </w:pPr>
            <w:r>
              <w:t>водоснабжение - до 20 процентов в 2019 году и до 10 процентов в 2020 году;</w:t>
            </w:r>
          </w:p>
          <w:p w:rsidR="00F4107C" w:rsidRDefault="00F4107C">
            <w:pPr>
              <w:pStyle w:val="ConsPlusNormal"/>
            </w:pPr>
            <w:r>
              <w:t>водоотведение - до 20 процентов в 2019 году и до 10 процентов в 2020 году</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8.</w:t>
            </w:r>
          </w:p>
        </w:tc>
        <w:tc>
          <w:tcPr>
            <w:tcW w:w="4082" w:type="dxa"/>
            <w:tcBorders>
              <w:top w:val="nil"/>
              <w:left w:val="nil"/>
              <w:bottom w:val="nil"/>
              <w:right w:val="nil"/>
            </w:tcBorders>
          </w:tcPr>
          <w:p w:rsidR="00F4107C" w:rsidRDefault="00F4107C">
            <w:pPr>
              <w:pStyle w:val="ConsPlusNormal"/>
            </w:pPr>
            <w:r>
              <w:t>Газоснабжение</w:t>
            </w:r>
          </w:p>
        </w:tc>
        <w:tc>
          <w:tcPr>
            <w:tcW w:w="5216" w:type="dxa"/>
            <w:tcBorders>
              <w:top w:val="nil"/>
              <w:left w:val="nil"/>
              <w:bottom w:val="nil"/>
              <w:right w:val="nil"/>
            </w:tcBorders>
          </w:tcPr>
          <w:p w:rsidR="00F4107C" w:rsidRDefault="00F4107C">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9.</w:t>
            </w:r>
          </w:p>
        </w:tc>
        <w:tc>
          <w:tcPr>
            <w:tcW w:w="4082" w:type="dxa"/>
            <w:tcBorders>
              <w:top w:val="nil"/>
              <w:left w:val="nil"/>
              <w:bottom w:val="nil"/>
              <w:right w:val="nil"/>
            </w:tcBorders>
          </w:tcPr>
          <w:p w:rsidR="00F4107C" w:rsidRDefault="00F4107C">
            <w:pPr>
              <w:pStyle w:val="ConsPlusNormal"/>
            </w:pPr>
            <w:r>
              <w:t>Нефть и нефтепродукты</w:t>
            </w:r>
          </w:p>
        </w:tc>
        <w:tc>
          <w:tcPr>
            <w:tcW w:w="5216" w:type="dxa"/>
            <w:tcBorders>
              <w:top w:val="nil"/>
              <w:left w:val="nil"/>
              <w:bottom w:val="nil"/>
              <w:right w:val="nil"/>
            </w:tcBorders>
          </w:tcPr>
          <w:p w:rsidR="00F4107C" w:rsidRDefault="00F4107C">
            <w:pPr>
              <w:pStyle w:val="ConsPlusNormal"/>
            </w:pPr>
            <w:proofErr w:type="gramStart"/>
            <w:r>
              <w:t xml:space="preserve">развитие рыночных механизмов ценообразования </w:t>
            </w:r>
            <w:r>
              <w:lastRenderedPageBreak/>
              <w:t>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lastRenderedPageBreak/>
              <w:t>10.</w:t>
            </w:r>
          </w:p>
        </w:tc>
        <w:tc>
          <w:tcPr>
            <w:tcW w:w="4082" w:type="dxa"/>
            <w:tcBorders>
              <w:top w:val="nil"/>
              <w:left w:val="nil"/>
              <w:bottom w:val="nil"/>
              <w:right w:val="nil"/>
            </w:tcBorders>
          </w:tcPr>
          <w:p w:rsidR="00F4107C" w:rsidRDefault="00F4107C">
            <w:pPr>
              <w:pStyle w:val="ConsPlusNormal"/>
              <w:jc w:val="center"/>
            </w:pPr>
            <w:r>
              <w:t>Сфера естественных монополий</w:t>
            </w:r>
          </w:p>
        </w:tc>
        <w:tc>
          <w:tcPr>
            <w:tcW w:w="5216" w:type="dxa"/>
            <w:tcBorders>
              <w:top w:val="nil"/>
              <w:left w:val="nil"/>
              <w:bottom w:val="nil"/>
              <w:right w:val="nil"/>
            </w:tcBorders>
          </w:tcPr>
          <w:p w:rsidR="00F4107C" w:rsidRDefault="00F4107C">
            <w:pPr>
              <w:pStyle w:val="ConsPlusNormal"/>
            </w:pPr>
            <w:r>
              <w:t>исключение тарифной дискриминации.</w:t>
            </w:r>
          </w:p>
          <w:p w:rsidR="00F4107C" w:rsidRDefault="00F4107C">
            <w:pPr>
              <w:pStyle w:val="ConsPlusNormal"/>
            </w:pPr>
            <w:r>
              <w:t>Прозрачность и долгосрочность тарифного регулирования</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t>11.</w:t>
            </w:r>
          </w:p>
        </w:tc>
        <w:tc>
          <w:tcPr>
            <w:tcW w:w="4082" w:type="dxa"/>
            <w:tcBorders>
              <w:top w:val="nil"/>
              <w:left w:val="nil"/>
              <w:bottom w:val="nil"/>
              <w:right w:val="nil"/>
            </w:tcBorders>
          </w:tcPr>
          <w:p w:rsidR="00F4107C" w:rsidRDefault="00F4107C">
            <w:pPr>
              <w:pStyle w:val="ConsPlusNormal"/>
            </w:pPr>
            <w:r>
              <w:t>Транспортные услуги</w:t>
            </w:r>
          </w:p>
        </w:tc>
        <w:tc>
          <w:tcPr>
            <w:tcW w:w="5216" w:type="dxa"/>
            <w:tcBorders>
              <w:top w:val="nil"/>
              <w:left w:val="nil"/>
              <w:bottom w:val="nil"/>
              <w:right w:val="nil"/>
            </w:tcBorders>
          </w:tcPr>
          <w:p w:rsidR="00F4107C" w:rsidRDefault="00F4107C">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F4107C" w:rsidRDefault="00F4107C">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F4107C" w:rsidRDefault="00F4107C">
            <w:pPr>
              <w:pStyle w:val="ConsPlusNormal"/>
            </w:pPr>
            <w:proofErr w:type="gramStart"/>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w:t>
            </w:r>
            <w:r>
              <w:lastRenderedPageBreak/>
              <w:t>экономической концентрации в сфере грузового транспорта.</w:t>
            </w:r>
          </w:p>
          <w:p w:rsidR="00F4107C" w:rsidRDefault="00F4107C">
            <w:pPr>
              <w:pStyle w:val="ConsPlusNormal"/>
            </w:pPr>
            <w:r>
              <w:t xml:space="preserve">Актуализация нормативной базы в сфере грузовых перевозок, в том числе разработка правил </w:t>
            </w:r>
            <w:proofErr w:type="spellStart"/>
            <w:r>
              <w:t>недискриминационного</w:t>
            </w:r>
            <w:proofErr w:type="spellEnd"/>
            <w:r>
              <w:t xml:space="preserve"> доступа к услугам портов, актуализация правил </w:t>
            </w:r>
            <w:proofErr w:type="spellStart"/>
            <w:r>
              <w:t>недискриминационного</w:t>
            </w:r>
            <w:proofErr w:type="spellEnd"/>
            <w:r>
              <w:t xml:space="preserve"> доступа к услугам железнодорожных перевозок и стандартов раскрытия информации.</w:t>
            </w:r>
          </w:p>
          <w:p w:rsidR="00F4107C" w:rsidRDefault="00F4107C">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F4107C" w:rsidRDefault="00F4107C">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F4107C" w:rsidRDefault="00F4107C">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F4107C">
        <w:tblPrEx>
          <w:tblBorders>
            <w:right w:val="none" w:sz="0" w:space="0" w:color="auto"/>
            <w:insideH w:val="none" w:sz="0" w:space="0" w:color="auto"/>
          </w:tblBorders>
        </w:tblPrEx>
        <w:tc>
          <w:tcPr>
            <w:tcW w:w="586" w:type="dxa"/>
            <w:tcBorders>
              <w:top w:val="nil"/>
              <w:left w:val="nil"/>
              <w:bottom w:val="nil"/>
              <w:right w:val="nil"/>
            </w:tcBorders>
          </w:tcPr>
          <w:p w:rsidR="00F4107C" w:rsidRDefault="00F4107C">
            <w:pPr>
              <w:pStyle w:val="ConsPlusNormal"/>
              <w:jc w:val="center"/>
            </w:pPr>
            <w:r>
              <w:lastRenderedPageBreak/>
              <w:t>12.</w:t>
            </w:r>
          </w:p>
        </w:tc>
        <w:tc>
          <w:tcPr>
            <w:tcW w:w="4082" w:type="dxa"/>
            <w:tcBorders>
              <w:top w:val="nil"/>
              <w:left w:val="nil"/>
              <w:bottom w:val="nil"/>
              <w:right w:val="nil"/>
            </w:tcBorders>
          </w:tcPr>
          <w:p w:rsidR="00F4107C" w:rsidRDefault="00F4107C">
            <w:pPr>
              <w:pStyle w:val="ConsPlusNormal"/>
            </w:pPr>
            <w:r>
              <w:t>Промышленность</w:t>
            </w:r>
          </w:p>
        </w:tc>
        <w:tc>
          <w:tcPr>
            <w:tcW w:w="5216" w:type="dxa"/>
            <w:tcBorders>
              <w:top w:val="nil"/>
              <w:left w:val="nil"/>
              <w:bottom w:val="nil"/>
              <w:right w:val="nil"/>
            </w:tcBorders>
          </w:tcPr>
          <w:p w:rsidR="00F4107C" w:rsidRDefault="00F4107C">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F4107C" w:rsidRDefault="00F4107C">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F4107C">
        <w:tblPrEx>
          <w:tblBorders>
            <w:right w:val="none" w:sz="0" w:space="0" w:color="auto"/>
            <w:insideH w:val="none" w:sz="0" w:space="0" w:color="auto"/>
          </w:tblBorders>
        </w:tblPrEx>
        <w:tc>
          <w:tcPr>
            <w:tcW w:w="586" w:type="dxa"/>
            <w:tcBorders>
              <w:top w:val="nil"/>
              <w:left w:val="nil"/>
              <w:bottom w:val="single" w:sz="4" w:space="0" w:color="auto"/>
              <w:right w:val="nil"/>
            </w:tcBorders>
          </w:tcPr>
          <w:p w:rsidR="00F4107C" w:rsidRDefault="00F4107C">
            <w:pPr>
              <w:pStyle w:val="ConsPlusNormal"/>
              <w:jc w:val="center"/>
            </w:pPr>
            <w:r>
              <w:t>13.</w:t>
            </w:r>
          </w:p>
        </w:tc>
        <w:tc>
          <w:tcPr>
            <w:tcW w:w="4082" w:type="dxa"/>
            <w:tcBorders>
              <w:top w:val="nil"/>
              <w:left w:val="nil"/>
              <w:bottom w:val="single" w:sz="4" w:space="0" w:color="auto"/>
              <w:right w:val="nil"/>
            </w:tcBorders>
          </w:tcPr>
          <w:p w:rsidR="00F4107C" w:rsidRDefault="00F4107C">
            <w:pPr>
              <w:pStyle w:val="ConsPlusNormal"/>
            </w:pPr>
            <w:r>
              <w:t>Финансовые рынки</w:t>
            </w:r>
          </w:p>
        </w:tc>
        <w:tc>
          <w:tcPr>
            <w:tcW w:w="5216" w:type="dxa"/>
            <w:tcBorders>
              <w:top w:val="nil"/>
              <w:left w:val="nil"/>
              <w:bottom w:val="single" w:sz="4" w:space="0" w:color="auto"/>
              <w:right w:val="nil"/>
            </w:tcBorders>
          </w:tcPr>
          <w:p w:rsidR="00F4107C" w:rsidRDefault="00F4107C">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w:t>
            </w:r>
            <w:r>
              <w:lastRenderedPageBreak/>
              <w:t xml:space="preserve">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F4107C" w:rsidRDefault="00F4107C">
      <w:pPr>
        <w:pStyle w:val="ConsPlusNormal"/>
        <w:jc w:val="both"/>
      </w:pPr>
    </w:p>
    <w:p w:rsidR="00F4107C" w:rsidRDefault="00F4107C">
      <w:pPr>
        <w:pStyle w:val="ConsPlusNormal"/>
        <w:jc w:val="both"/>
      </w:pPr>
    </w:p>
    <w:p w:rsidR="00F4107C" w:rsidRDefault="00F4107C">
      <w:pPr>
        <w:pStyle w:val="ConsPlusNormal"/>
        <w:pBdr>
          <w:top w:val="single" w:sz="6" w:space="0" w:color="auto"/>
        </w:pBdr>
        <w:spacing w:before="100" w:after="100"/>
        <w:jc w:val="both"/>
        <w:rPr>
          <w:sz w:val="2"/>
          <w:szCs w:val="2"/>
        </w:rPr>
      </w:pPr>
    </w:p>
    <w:p w:rsidR="008D373D" w:rsidRDefault="008D373D"/>
    <w:sectPr w:rsidR="008D373D" w:rsidSect="0026332C">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07C"/>
    <w:rsid w:val="00280466"/>
    <w:rsid w:val="004823B5"/>
    <w:rsid w:val="008D373D"/>
    <w:rsid w:val="00BF4729"/>
    <w:rsid w:val="00F41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07C"/>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F4107C"/>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F4107C"/>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993268F400FD75B4BEFACC75DCD562BC9E2CF3E9136BDE7CE4C45883C85A60DBE041FF5C8l5v8O" TargetMode="External"/><Relationship Id="rId5" Type="http://schemas.openxmlformats.org/officeDocument/2006/relationships/hyperlink" Target="consultantplus://offline/ref=F993268F400FD75B4BEFACC75DCD562BC9E2CF3E9136BDE7CE4C45883C85A60DBE041FF5C8l5v8O" TargetMode="External"/><Relationship Id="rId4" Type="http://schemas.openxmlformats.org/officeDocument/2006/relationships/hyperlink" Target="consultantplus://offline/ref=F993268F400FD75B4BEFACC75DCD562BC9E0CA329B38BDE7CE4C45883C85A60DBE041FF6CD5BBD8DlA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zhiglov</dc:creator>
  <cp:keywords/>
  <dc:description/>
  <cp:lastModifiedBy>zhiglov</cp:lastModifiedBy>
  <cp:revision>2</cp:revision>
  <cp:lastPrinted>2018-04-05T14:57:00Z</cp:lastPrinted>
  <dcterms:created xsi:type="dcterms:W3CDTF">2018-04-05T14:47:00Z</dcterms:created>
  <dcterms:modified xsi:type="dcterms:W3CDTF">2018-04-09T11:45:00Z</dcterms:modified>
</cp:coreProperties>
</file>