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E43" w:rsidRPr="00A77E43" w:rsidRDefault="00A77E43" w:rsidP="00A77E43">
      <w:pPr>
        <w:jc w:val="center"/>
        <w:rPr>
          <w:b/>
          <w:sz w:val="24"/>
          <w:szCs w:val="24"/>
        </w:rPr>
      </w:pPr>
      <w:r w:rsidRPr="00A77E43">
        <w:rPr>
          <w:b/>
          <w:sz w:val="24"/>
          <w:szCs w:val="24"/>
        </w:rPr>
        <w:t xml:space="preserve">Исполнение бюджета </w:t>
      </w:r>
      <w:proofErr w:type="spellStart"/>
      <w:r w:rsidRPr="00A77E43">
        <w:rPr>
          <w:b/>
          <w:sz w:val="24"/>
          <w:szCs w:val="24"/>
        </w:rPr>
        <w:t>Пудожского</w:t>
      </w:r>
      <w:proofErr w:type="spellEnd"/>
      <w:r w:rsidRPr="00A77E43">
        <w:rPr>
          <w:b/>
          <w:sz w:val="24"/>
          <w:szCs w:val="24"/>
        </w:rPr>
        <w:t xml:space="preserve"> муниципального района на 1 марта 2020 года</w:t>
      </w:r>
    </w:p>
    <w:p w:rsidR="00AB5BA4" w:rsidRDefault="00AB5BA4" w:rsidP="00AB5BA4">
      <w:pPr>
        <w:jc w:val="both"/>
      </w:pPr>
      <w:r>
        <w:t>По итогам исполнения бюджета Пудожского муниципального района  на 1</w:t>
      </w:r>
      <w:r w:rsidR="00A77E43">
        <w:t xml:space="preserve"> </w:t>
      </w:r>
      <w:r>
        <w:t>марта 2020</w:t>
      </w:r>
      <w:r w:rsidR="00A77E43">
        <w:t xml:space="preserve"> </w:t>
      </w:r>
      <w:r>
        <w:t>года поступление доходов составило 75680тыс</w:t>
      </w:r>
      <w:proofErr w:type="gramStart"/>
      <w:r>
        <w:t>.р</w:t>
      </w:r>
      <w:proofErr w:type="gramEnd"/>
      <w:r>
        <w:t>ублей.</w:t>
      </w:r>
    </w:p>
    <w:p w:rsidR="00947C0A" w:rsidRDefault="00F455EC" w:rsidP="00AB5BA4">
      <w:pPr>
        <w:jc w:val="both"/>
      </w:pPr>
      <w:r>
        <w:t xml:space="preserve">Налоговые и неналоговые доходы  </w:t>
      </w:r>
      <w:r w:rsidR="00AB5BA4">
        <w:t>поступил</w:t>
      </w:r>
      <w:r>
        <w:t xml:space="preserve"> в бюджет Пудожского муниципального района</w:t>
      </w:r>
      <w:r w:rsidR="00E55C1E">
        <w:t xml:space="preserve"> в сумме  17611</w:t>
      </w:r>
      <w:r w:rsidR="00A77E43">
        <w:t xml:space="preserve"> </w:t>
      </w:r>
      <w:r>
        <w:t>тыс</w:t>
      </w:r>
      <w:proofErr w:type="gramStart"/>
      <w:r>
        <w:t>.р</w:t>
      </w:r>
      <w:proofErr w:type="gramEnd"/>
      <w:r>
        <w:t>ублей</w:t>
      </w:r>
      <w:r w:rsidR="00E55C1E">
        <w:t>. Основную долю в структуре поступлений налоговых и неналоговых доходов составляют налог на доходы физических лиц – 7536</w:t>
      </w:r>
      <w:r w:rsidR="00A77E43">
        <w:t xml:space="preserve"> </w:t>
      </w:r>
      <w:r w:rsidR="00E55C1E">
        <w:t>тыс</w:t>
      </w:r>
      <w:proofErr w:type="gramStart"/>
      <w:r w:rsidR="00E55C1E">
        <w:t>.р</w:t>
      </w:r>
      <w:proofErr w:type="gramEnd"/>
      <w:r w:rsidR="00E55C1E">
        <w:t>ублей (42,8%),</w:t>
      </w:r>
      <w:r w:rsidR="00A77E43">
        <w:t xml:space="preserve"> </w:t>
      </w:r>
      <w:r w:rsidR="00E55C1E">
        <w:t>прочие налоговые и неналоговые доходы</w:t>
      </w:r>
      <w:r w:rsidR="0006766D">
        <w:t xml:space="preserve"> в сумме 4882</w:t>
      </w:r>
      <w:r w:rsidR="00A77E43">
        <w:t xml:space="preserve"> </w:t>
      </w:r>
      <w:r w:rsidR="0006766D">
        <w:t>тыс.</w:t>
      </w:r>
      <w:r w:rsidR="00A77E43">
        <w:t xml:space="preserve">рублей, </w:t>
      </w:r>
      <w:r w:rsidR="00E55C1E">
        <w:t xml:space="preserve"> в т.ч доходы от оказания платных услуг</w:t>
      </w:r>
      <w:r w:rsidR="003334B2">
        <w:t>(работ )</w:t>
      </w:r>
      <w:r w:rsidR="0006766D">
        <w:t>- 4468</w:t>
      </w:r>
      <w:r w:rsidR="00A77E43">
        <w:t xml:space="preserve"> </w:t>
      </w:r>
      <w:r w:rsidR="0006766D">
        <w:t>тыс.рублей (25,3%)</w:t>
      </w:r>
      <w:r w:rsidR="00CB41B1">
        <w:t>,</w:t>
      </w:r>
      <w:r w:rsidR="00A77E43">
        <w:t xml:space="preserve"> </w:t>
      </w:r>
      <w:r w:rsidR="00CB41B1">
        <w:t>налоги на совокупный доход – 2748</w:t>
      </w:r>
      <w:r w:rsidR="00A77E43">
        <w:t xml:space="preserve"> </w:t>
      </w:r>
      <w:r w:rsidR="00CB41B1">
        <w:t>тыс.рублей</w:t>
      </w:r>
      <w:r w:rsidR="00AB5BA4">
        <w:t xml:space="preserve"> </w:t>
      </w:r>
      <w:r w:rsidR="00CB41B1">
        <w:t xml:space="preserve"> ( 15,6%).</w:t>
      </w:r>
    </w:p>
    <w:p w:rsidR="00CB41B1" w:rsidRDefault="00CB41B1" w:rsidP="00AB5BA4">
      <w:pPr>
        <w:jc w:val="both"/>
      </w:pPr>
      <w:r>
        <w:t xml:space="preserve">Безвозмездные поступления </w:t>
      </w:r>
      <w:r w:rsidR="00AC7FE8">
        <w:t>в бюджет Пудожского муниципального района составили 58069</w:t>
      </w:r>
      <w:r w:rsidR="00A77E43">
        <w:t xml:space="preserve"> </w:t>
      </w:r>
      <w:r w:rsidR="00AC7FE8">
        <w:t>тыс</w:t>
      </w:r>
      <w:proofErr w:type="gramStart"/>
      <w:r w:rsidR="00AC7FE8">
        <w:t>.р</w:t>
      </w:r>
      <w:proofErr w:type="gramEnd"/>
      <w:r w:rsidR="00AC7FE8">
        <w:t>ублей, из них: дотация 27334</w:t>
      </w:r>
      <w:r w:rsidR="00A77E43">
        <w:t xml:space="preserve"> </w:t>
      </w:r>
      <w:r w:rsidR="00AC7FE8">
        <w:t>тыс.рублей,</w:t>
      </w:r>
      <w:r w:rsidR="00A77E43">
        <w:t xml:space="preserve"> </w:t>
      </w:r>
      <w:r w:rsidR="00AC7FE8">
        <w:t>субсидии 552тыс.рублей,</w:t>
      </w:r>
      <w:r w:rsidR="00A77E43">
        <w:t xml:space="preserve"> </w:t>
      </w:r>
      <w:r w:rsidR="00AC7FE8">
        <w:t>субвенции 30187тыс.рублей</w:t>
      </w:r>
      <w:r w:rsidR="00AB5BA4">
        <w:t>. Прочие безвозмездные  поступления в сумме  - 4,0</w:t>
      </w:r>
      <w:r w:rsidR="00A77E43">
        <w:t xml:space="preserve"> </w:t>
      </w:r>
      <w:r w:rsidR="00AB5BA4">
        <w:t>тыс</w:t>
      </w:r>
      <w:proofErr w:type="gramStart"/>
      <w:r w:rsidR="00AB5BA4">
        <w:t>.р</w:t>
      </w:r>
      <w:proofErr w:type="gramEnd"/>
      <w:r w:rsidR="00AB5BA4">
        <w:t xml:space="preserve">ублей уточнены как неверно зачисленные доходы 2019года. </w:t>
      </w:r>
    </w:p>
    <w:p w:rsidR="00F455EC" w:rsidRDefault="00F455EC">
      <w:r w:rsidRPr="00F455EC">
        <w:rPr>
          <w:noProof/>
          <w:lang w:eastAsia="ru-RU"/>
        </w:rPr>
        <w:drawing>
          <wp:inline distT="0" distB="0" distL="0" distR="0">
            <wp:extent cx="4552950" cy="261937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F43CEC" w:rsidRDefault="00F43CEC"/>
    <w:p w:rsidR="00F43CEC" w:rsidRDefault="00F43CEC"/>
    <w:p w:rsidR="00F43CEC" w:rsidRDefault="00F43CEC"/>
    <w:p w:rsidR="00F43CEC" w:rsidRDefault="00F43CEC"/>
    <w:p w:rsidR="00F43CEC" w:rsidRDefault="00F43CEC"/>
    <w:p w:rsidR="00F43CEC" w:rsidRDefault="00F43CEC"/>
    <w:p w:rsidR="00F43CEC" w:rsidRDefault="00F43CEC"/>
    <w:p w:rsidR="00F43CEC" w:rsidRDefault="00F43CEC"/>
    <w:p w:rsidR="00A77E43" w:rsidRDefault="00A77E43">
      <w:r>
        <w:t xml:space="preserve">Исполнение бюджета </w:t>
      </w:r>
      <w:proofErr w:type="spellStart"/>
      <w:r>
        <w:t>Пудожского</w:t>
      </w:r>
      <w:proofErr w:type="spellEnd"/>
      <w:r>
        <w:t xml:space="preserve"> муниципального района по расходам составило 77 851 тыс</w:t>
      </w:r>
      <w:proofErr w:type="gramStart"/>
      <w:r>
        <w:t>.р</w:t>
      </w:r>
      <w:proofErr w:type="gramEnd"/>
      <w:r>
        <w:t xml:space="preserve">ублей, в том числе 69 832 тыс.рублей (90%) – расходы в рамках муниципальных программ </w:t>
      </w:r>
      <w:proofErr w:type="spellStart"/>
      <w:r>
        <w:t>Пудожского</w:t>
      </w:r>
      <w:proofErr w:type="spellEnd"/>
      <w:r>
        <w:t xml:space="preserve"> муниципального района.</w:t>
      </w:r>
    </w:p>
    <w:p w:rsidR="00F43CEC" w:rsidRDefault="00F43CEC"/>
    <w:p w:rsidR="00A77E43" w:rsidRDefault="00A77E43" w:rsidP="00F43CEC">
      <w:pPr>
        <w:jc w:val="center"/>
      </w:pPr>
      <w:r>
        <w:lastRenderedPageBreak/>
        <w:t xml:space="preserve">Исполнение бюджета </w:t>
      </w:r>
      <w:proofErr w:type="spellStart"/>
      <w:r>
        <w:t>Пудожского</w:t>
      </w:r>
      <w:proofErr w:type="spellEnd"/>
      <w:r>
        <w:t xml:space="preserve"> муниципального района по муниципальным программам </w:t>
      </w:r>
      <w:proofErr w:type="spellStart"/>
      <w:r>
        <w:t>Пудожского</w:t>
      </w:r>
      <w:proofErr w:type="spellEnd"/>
      <w:r>
        <w:t xml:space="preserve"> муниципального района на 1 марта 2020 года, тыс</w:t>
      </w:r>
      <w:proofErr w:type="gramStart"/>
      <w:r>
        <w:t>.р</w:t>
      </w:r>
      <w:proofErr w:type="gramEnd"/>
      <w:r>
        <w:t>ублей</w:t>
      </w:r>
    </w:p>
    <w:p w:rsidR="00F43CEC" w:rsidRDefault="00F43CEC"/>
    <w:p w:rsidR="00F43CEC" w:rsidRDefault="00F43CEC">
      <w:r w:rsidRPr="00F43CEC">
        <w:drawing>
          <wp:inline distT="0" distB="0" distL="0" distR="0">
            <wp:extent cx="5505450" cy="392430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F43CEC" w:rsidSect="00947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5EC"/>
    <w:rsid w:val="00004E75"/>
    <w:rsid w:val="0006766D"/>
    <w:rsid w:val="002074BD"/>
    <w:rsid w:val="003334B2"/>
    <w:rsid w:val="00632600"/>
    <w:rsid w:val="00947C0A"/>
    <w:rsid w:val="00955750"/>
    <w:rsid w:val="00A77E43"/>
    <w:rsid w:val="00AB5BA4"/>
    <w:rsid w:val="00AC7FE8"/>
    <w:rsid w:val="00CB41B1"/>
    <w:rsid w:val="00E05E45"/>
    <w:rsid w:val="00E55C1E"/>
    <w:rsid w:val="00F43CEC"/>
    <w:rsid w:val="00F45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5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\\SERVER\public\2020-2022\&#1076;&#1080;&#1072;&#1075;&#1088;&#1072;&#1084;&#1084;&#1099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0"/>
    </c:view3D>
    <c:plotArea>
      <c:layout>
        <c:manualLayout>
          <c:layoutTarget val="inner"/>
          <c:xMode val="edge"/>
          <c:yMode val="edge"/>
          <c:x val="5.4881791998988003E-2"/>
          <c:y val="0.10882137764275528"/>
          <c:w val="0.75389984397531062"/>
          <c:h val="0.59564863670391854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49"/>
          <c:dPt>
            <c:idx val="0"/>
            <c:explosion val="50"/>
          </c:dPt>
          <c:dPt>
            <c:idx val="1"/>
            <c:explosion val="66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explosion val="64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explosion val="62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explosion val="63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explosion val="62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0.16638873347070801"/>
                  <c:y val="-6.6616518296037805E-2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НДФЛ 7536</a:t>
                    </a:r>
                  </a:p>
                </c:rich>
              </c:tx>
              <c:dLblPos val="bestFit"/>
            </c:dLbl>
            <c:dLbl>
              <c:idx val="1"/>
              <c:layout>
                <c:manualLayout>
                  <c:x val="-0.11978058182057796"/>
                  <c:y val="-9.9463803388212965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Налог на совокупный д</a:t>
                    </a:r>
                  </a:p>
                  <a:p>
                    <a:r>
                      <a:rPr lang="ru-RU" sz="800"/>
                      <a:t>доход </a:t>
                    </a:r>
                    <a:r>
                      <a:rPr lang="en-US" sz="800"/>
                      <a:t>2748</a:t>
                    </a:r>
                  </a:p>
                </c:rich>
              </c:tx>
              <c:dLblPos val="bestFit"/>
            </c:dLbl>
            <c:dLbl>
              <c:idx val="2"/>
              <c:layout>
                <c:manualLayout>
                  <c:x val="6.905676539386553E-2"/>
                  <c:y val="-0.16922815557146298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Гос. пошлина  462</a:t>
                    </a:r>
                  </a:p>
                </c:rich>
              </c:tx>
              <c:dLblPos val="bestFit"/>
            </c:dLbl>
            <c:dLbl>
              <c:idx val="3"/>
              <c:layout>
                <c:manualLayout>
                  <c:x val="6.9387669036085259E-2"/>
                  <c:y val="-8.0503771020717214E-4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Доходы от использования имущества  </a:t>
                    </a:r>
                    <a:r>
                      <a:rPr lang="en-US" sz="800"/>
                      <a:t>1571</a:t>
                    </a:r>
                  </a:p>
                </c:rich>
              </c:tx>
              <c:dLblPos val="bestFit"/>
            </c:dLbl>
            <c:dLbl>
              <c:idx val="4"/>
              <c:layout>
                <c:manualLayout>
                  <c:x val="6.9790969574892031E-2"/>
                  <c:y val="0.12916000124490368"/>
                </c:manualLayout>
              </c:layout>
              <c:tx>
                <c:rich>
                  <a:bodyPr/>
                  <a:lstStyle/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 sz="900"/>
                      <a:t>Штрафы  412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</c:dLbl>
            <c:dLbl>
              <c:idx val="5"/>
              <c:layout>
                <c:manualLayout>
                  <c:x val="-6.289838770153751E-4"/>
                  <c:y val="0.36736062631346439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Прочие налоговые и неналоговые доходы 4882</a:t>
                    </a:r>
                  </a:p>
                </c:rich>
              </c:tx>
              <c:dLblPos val="bestFit"/>
            </c:dLbl>
            <c:dLbl>
              <c:idx val="6"/>
              <c:layout>
                <c:manualLayout>
                  <c:x val="-0.14370472440944881"/>
                  <c:y val="0.19188642656781332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Дотация  </a:t>
                    </a:r>
                    <a:r>
                      <a:rPr lang="en-US" sz="900"/>
                      <a:t>27334</a:t>
                    </a:r>
                  </a:p>
                </c:rich>
              </c:tx>
              <c:dLblPos val="bestFit"/>
            </c:dLbl>
            <c:dLbl>
              <c:idx val="7"/>
              <c:layout>
                <c:manualLayout>
                  <c:x val="0.16698968878890158"/>
                  <c:y val="0.16766007341865755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Субсидии  </a:t>
                    </a:r>
                    <a:r>
                      <a:rPr lang="en-US" sz="900"/>
                      <a:t>552</a:t>
                    </a:r>
                  </a:p>
                </c:rich>
              </c:tx>
              <c:dLblPos val="bestFit"/>
            </c:dLbl>
            <c:dLbl>
              <c:idx val="8"/>
              <c:layout>
                <c:manualLayout>
                  <c:x val="2.9872328458942665E-2"/>
                  <c:y val="0.33184439573919339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Субвенции </a:t>
                    </a:r>
                    <a:r>
                      <a:rPr lang="en-US" sz="900"/>
                      <a:t>30187</a:t>
                    </a:r>
                  </a:p>
                </c:rich>
              </c:tx>
              <c:dLblPos val="bestFit"/>
            </c:dLbl>
            <c:dLbl>
              <c:idx val="9"/>
              <c:layout>
                <c:manualLayout>
                  <c:x val="-0.18183239595050621"/>
                  <c:y val="-1.5087083186766603E-2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прочие безвозмездные поступления </a:t>
                    </a:r>
                    <a:r>
                      <a:rPr lang="en-US"/>
                      <a:t>-</a:t>
                    </a:r>
                    <a:r>
                      <a:rPr lang="en-US" sz="900"/>
                      <a:t>4</a:t>
                    </a:r>
                  </a:p>
                </c:rich>
              </c:tx>
              <c:dLblPos val="bestFit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'Z:\М.Бровко\[диаграммы.xls]Лист1'!$A$2:$A$11</c:f>
              <c:strCache>
                <c:ptCount val="10"/>
                <c:pt idx="0">
                  <c:v>НДФЛ</c:v>
                </c:pt>
                <c:pt idx="1">
                  <c:v>Налог на совок доход</c:v>
                </c:pt>
                <c:pt idx="2">
                  <c:v>Гос. пошлина </c:v>
                </c:pt>
                <c:pt idx="3">
                  <c:v>Дох от использ имущ</c:v>
                </c:pt>
                <c:pt idx="4">
                  <c:v>Штрафы </c:v>
                </c:pt>
                <c:pt idx="5">
                  <c:v>Прочие </c:v>
                </c:pt>
                <c:pt idx="6">
                  <c:v>Дотация </c:v>
                </c:pt>
                <c:pt idx="7">
                  <c:v>Субсидии</c:v>
                </c:pt>
                <c:pt idx="8">
                  <c:v>Субвенции</c:v>
                </c:pt>
                <c:pt idx="9">
                  <c:v>Прочие безвозмездные поступ</c:v>
                </c:pt>
              </c:strCache>
            </c:strRef>
          </c:cat>
          <c:val>
            <c:numRef>
              <c:f>'Z:\М.Бровко\[диаграммы.xls]Лист1'!$B$2:$B$11</c:f>
              <c:numCache>
                <c:formatCode>0</c:formatCode>
                <c:ptCount val="10"/>
                <c:pt idx="0">
                  <c:v>7536</c:v>
                </c:pt>
                <c:pt idx="1">
                  <c:v>2748</c:v>
                </c:pt>
                <c:pt idx="2">
                  <c:v>462</c:v>
                </c:pt>
                <c:pt idx="3">
                  <c:v>1571</c:v>
                </c:pt>
                <c:pt idx="4">
                  <c:v>412</c:v>
                </c:pt>
                <c:pt idx="5">
                  <c:v>4882</c:v>
                </c:pt>
                <c:pt idx="6">
                  <c:v>27334</c:v>
                </c:pt>
                <c:pt idx="7" formatCode="General">
                  <c:v>552</c:v>
                </c:pt>
                <c:pt idx="8" formatCode="General">
                  <c:v>30187</c:v>
                </c:pt>
                <c:pt idx="9" formatCode="General">
                  <c:v>-4</c:v>
                </c:pt>
              </c:numCache>
            </c:numRef>
          </c:val>
        </c:ser>
        <c:dLbls>
          <c:showVal val="1"/>
          <c:showCatName val="1"/>
        </c:dLbls>
      </c:pie3DChart>
      <c:spPr>
        <a:noFill/>
        <a:ln w="25400">
          <a:noFill/>
        </a:ln>
      </c:spPr>
    </c:plotArea>
    <c:plotVisOnly val="1"/>
    <c:dispBlanksAs val="zero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2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0"/>
    </c:view3D>
    <c:plotArea>
      <c:layout>
        <c:manualLayout>
          <c:layoutTarget val="inner"/>
          <c:xMode val="edge"/>
          <c:yMode val="edge"/>
          <c:x val="0.10398133566637498"/>
          <c:y val="0.19743113421501923"/>
          <c:w val="0.80981510644502774"/>
          <c:h val="0.73827689014601361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49"/>
          <c:dPt>
            <c:idx val="0"/>
            <c:explosion val="50"/>
          </c:dPt>
          <c:dPt>
            <c:idx val="1"/>
            <c:explosion val="66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explosion val="64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explosion val="62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explosion val="63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explosion val="62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1"/>
              <c:layout/>
              <c:spPr/>
              <c:txPr>
                <a:bodyPr/>
                <a:lstStyle/>
                <a:p>
                  <a:pPr>
                    <a:defRPr sz="900"/>
                  </a:pPr>
                  <a:endParaRPr lang="ru-RU"/>
                </a:p>
              </c:txPr>
              <c:dLblPos val="bestFit"/>
              <c:showCatName val="1"/>
              <c:showPercent val="1"/>
            </c:dLbl>
            <c:dLbl>
              <c:idx val="2"/>
              <c:layout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 sz="900"/>
                      <a:t>МП "Доплата к страховой пенсии муниципальным служащим" 452 тыс.руб
1%</a:t>
                    </a:r>
                  </a:p>
                </c:rich>
              </c:tx>
              <c:spPr/>
              <c:dLblPos val="bestFit"/>
            </c:dLbl>
            <c:dLbl>
              <c:idx val="3"/>
              <c:layout>
                <c:manualLayout>
                  <c:x val="0.18163826188393131"/>
                  <c:y val="-0.14675483525724348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 sz="900"/>
                      <a:t>МП "</a:t>
                    </a:r>
                    <a:r>
                      <a:rPr lang="ru-RU" sz="900" b="0"/>
                      <a:t>Совершенствование качества  муниципального  управления" 7748 тыс.руб
11</a:t>
                    </a:r>
                    <a:r>
                      <a:rPr lang="ru-RU" sz="900"/>
                      <a:t>%</a:t>
                    </a:r>
                  </a:p>
                </c:rich>
              </c:tx>
              <c:spPr/>
              <c:dLblPos val="bestFit"/>
            </c:dLbl>
            <c:dLbl>
              <c:idx val="4"/>
              <c:layout>
                <c:manualLayout>
                  <c:x val="0.24613939924176156"/>
                  <c:y val="-2.1441276151160753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 sz="900"/>
                      <a:t>МП "Управление муниципальными финансами" 3726 тыс.руб
5%</a:t>
                    </a:r>
                  </a:p>
                </c:rich>
              </c:tx>
              <c:spPr/>
              <c:dLblPos val="bestFit"/>
            </c:dLbl>
            <c:dLbl>
              <c:idx val="5"/>
              <c:layout>
                <c:manualLayout>
                  <c:x val="0.36986106736657948"/>
                  <c:y val="4.8543689320388383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CatName val="1"/>
              <c:showPercent val="1"/>
            </c:dLbl>
            <c:showCatName val="1"/>
            <c:showPercent val="1"/>
            <c:showLeaderLines val="1"/>
          </c:dLbls>
          <c:cat>
            <c:strRef>
              <c:f>[диаграммы.xls]Лист1!$A$2:$A$7</c:f>
              <c:strCache>
                <c:ptCount val="6"/>
                <c:pt idx="0">
                  <c:v>МП "Развитие образования" 55 412 тыс.руб</c:v>
                </c:pt>
                <c:pt idx="1">
                  <c:v>МП "Развитие культуры" 1900 тыс.руб</c:v>
                </c:pt>
                <c:pt idx="2">
                  <c:v>МП "Доплата к страховой пенсии муниципальным служащим" 452 тыс.руб</c:v>
                </c:pt>
                <c:pt idx="3">
                  <c:v>МП "Совершенствование качества  муниципального  управления" 7748 тыс.руб</c:v>
                </c:pt>
                <c:pt idx="4">
                  <c:v>МП "Управление муниципальными финансами" 3726 тыс.руб</c:v>
                </c:pt>
                <c:pt idx="5">
                  <c:v>МП "Реформирование и модернизация жилищно-коммунального хозяйства" 550 тыс.руб</c:v>
                </c:pt>
              </c:strCache>
            </c:strRef>
          </c:cat>
          <c:val>
            <c:numRef>
              <c:f>[диаграммы.xls]Лист1!$B$2:$B$7</c:f>
              <c:numCache>
                <c:formatCode>0</c:formatCode>
                <c:ptCount val="6"/>
                <c:pt idx="0">
                  <c:v>55412</c:v>
                </c:pt>
                <c:pt idx="1">
                  <c:v>1900</c:v>
                </c:pt>
                <c:pt idx="2">
                  <c:v>452</c:v>
                </c:pt>
                <c:pt idx="3">
                  <c:v>7748</c:v>
                </c:pt>
                <c:pt idx="4">
                  <c:v>3726</c:v>
                </c:pt>
                <c:pt idx="5">
                  <c:v>550</c:v>
                </c:pt>
              </c:numCache>
            </c:numRef>
          </c:val>
        </c:ser>
        <c:dLbls>
          <c:showCatName val="1"/>
          <c:showPercent val="1"/>
        </c:dLbls>
      </c:pie3DChart>
      <c:spPr>
        <a:noFill/>
        <a:ln w="25400">
          <a:noFill/>
        </a:ln>
      </c:spPr>
    </c:plotArea>
    <c:plotVisOnly val="1"/>
    <c:dispBlanksAs val="zero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2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0.138</cdr:x>
      <cdr:y>0.48797</cdr:y>
    </cdr:from>
    <cdr:to>
      <cdr:x>0.164</cdr:x>
      <cdr:y>0.60481</cdr:y>
    </cdr:to>
    <cdr:sp macro="" textlink="">
      <cdr:nvSpPr>
        <cdr:cNvPr id="84" name="Прямая соединительная линия 83"/>
        <cdr:cNvSpPr/>
      </cdr:nvSpPr>
      <cdr:spPr>
        <a:xfrm xmlns:a="http://schemas.openxmlformats.org/drawingml/2006/main" flipH="1">
          <a:off x="657223" y="1352551"/>
          <a:ext cx="123826" cy="323850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0.29931</cdr:x>
      <cdr:y>0.34951</cdr:y>
    </cdr:from>
    <cdr:to>
      <cdr:x>0.31315</cdr:x>
      <cdr:y>0.41748</cdr:y>
    </cdr:to>
    <cdr:sp macro="" textlink="">
      <cdr:nvSpPr>
        <cdr:cNvPr id="4" name="Прямая соединительная линия 3"/>
        <cdr:cNvSpPr/>
      </cdr:nvSpPr>
      <cdr:spPr>
        <a:xfrm xmlns:a="http://schemas.openxmlformats.org/drawingml/2006/main" flipH="1">
          <a:off x="1647823" y="1371600"/>
          <a:ext cx="76202" cy="26670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Пользователь</cp:lastModifiedBy>
  <cp:revision>5</cp:revision>
  <dcterms:created xsi:type="dcterms:W3CDTF">2020-03-20T09:59:00Z</dcterms:created>
  <dcterms:modified xsi:type="dcterms:W3CDTF">2020-03-23T07:14:00Z</dcterms:modified>
</cp:coreProperties>
</file>