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360"/>
        </w:tabs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ПОЯСНИТЕЛЬНАЯ ЗАПИСКА</w:t>
      </w:r>
    </w:p>
    <w:p>
      <w:pPr>
        <w:widowControl w:val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к  проекту решения «О бюджете Кубовского сельского поселения Пудожского муниципального района Республики Карелия  на 2024 год» </w:t>
      </w:r>
    </w:p>
    <w:p>
      <w:pPr>
        <w:widowControl w:val="0"/>
        <w:jc w:val="center"/>
        <w:rPr>
          <w:b/>
          <w:color w:val="000000"/>
          <w:sz w:val="26"/>
          <w:szCs w:val="26"/>
        </w:rPr>
      </w:pPr>
    </w:p>
    <w:p>
      <w:pPr>
        <w:pStyle w:val="9"/>
        <w:widowControl w:val="0"/>
        <w:spacing w:line="276" w:lineRule="auto"/>
        <w:ind w:firstLine="851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Проект Решения «О бюджете Кубовского сельского поселения Пудожского муниципального района Республики Карелия на 2024 год» (далее – решение) разработано с учетом </w:t>
      </w:r>
      <w:r>
        <w:rPr>
          <w:rFonts w:ascii="Times New Roman" w:hAnsi="Times New Roman"/>
          <w:sz w:val="22"/>
          <w:szCs w:val="22"/>
        </w:rPr>
        <w:t xml:space="preserve">основных направлений бюджетной и налоговой политики Республики Карелия и  </w:t>
      </w:r>
      <w:r>
        <w:rPr>
          <w:rFonts w:ascii="Times New Roman" w:hAnsi="Times New Roman"/>
          <w:color w:val="000000"/>
          <w:sz w:val="22"/>
          <w:szCs w:val="22"/>
        </w:rPr>
        <w:t xml:space="preserve">Кубовского сельского поселения </w:t>
      </w:r>
      <w:r>
        <w:rPr>
          <w:rFonts w:ascii="Times New Roman" w:hAnsi="Times New Roman"/>
          <w:sz w:val="22"/>
          <w:szCs w:val="22"/>
          <w:lang w:eastAsia="en-US"/>
        </w:rPr>
        <w:t>на 2024 год.</w:t>
      </w:r>
    </w:p>
    <w:p>
      <w:pPr>
        <w:pStyle w:val="9"/>
        <w:widowControl w:val="0"/>
        <w:spacing w:line="276" w:lineRule="auto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Планирование доходов бюджета муниципального образования осуществлялось в соответствии с Методикой, утвержденной постановлением администрации Кубовского сельского поселения от </w:t>
      </w:r>
      <w:r>
        <w:rPr>
          <w:rFonts w:ascii="Times New Roman" w:hAnsi="Times New Roman"/>
          <w:sz w:val="22"/>
          <w:szCs w:val="22"/>
        </w:rPr>
        <w:t>19.06.2017  № 21</w:t>
      </w:r>
      <w:r>
        <w:rPr>
          <w:rFonts w:ascii="Times New Roman" w:hAnsi="Times New Roman"/>
          <w:color w:val="000000"/>
          <w:sz w:val="22"/>
          <w:szCs w:val="22"/>
        </w:rPr>
        <w:t xml:space="preserve"> «Об утверждении Методики прогнозирования поступлений доходов в бюджет Кубовского сельского поселения» и Методикой планирования бюджетных ассигнований бюджета муниципального образования, утвержденной постановлением администрации Кубовского сельского поселения от </w:t>
      </w:r>
      <w:r>
        <w:rPr>
          <w:rFonts w:ascii="Times New Roman" w:hAnsi="Times New Roman"/>
          <w:sz w:val="22"/>
          <w:szCs w:val="22"/>
        </w:rPr>
        <w:t>06.11.2018г № 45</w:t>
      </w:r>
      <w:r>
        <w:rPr>
          <w:rFonts w:ascii="Times New Roman" w:hAnsi="Times New Roman"/>
          <w:color w:val="000000"/>
          <w:sz w:val="22"/>
          <w:szCs w:val="22"/>
        </w:rPr>
        <w:t xml:space="preserve"> «Об утверждении Порядка и Методики планирования бюджетных ассигнований бюджета Кубовского сельского поселения».</w:t>
      </w:r>
    </w:p>
    <w:p>
      <w:pPr>
        <w:pStyle w:val="9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>
        <w:rPr>
          <w:rFonts w:eastAsiaTheme="minorHAnsi"/>
          <w:b/>
          <w:sz w:val="24"/>
          <w:szCs w:val="24"/>
          <w:u w:val="single"/>
          <w:lang w:eastAsia="en-US"/>
        </w:rPr>
        <w:t>ОСНОВНЫЕ ХАРАКТЕРИСТИКИ БЮДЖЕТА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Параметры бюджета</w:t>
      </w:r>
      <w:r>
        <w:rPr>
          <w:color w:val="000000"/>
          <w:sz w:val="22"/>
          <w:szCs w:val="22"/>
        </w:rPr>
        <w:t xml:space="preserve"> Кубовского сельского поселения </w:t>
      </w:r>
      <w:r>
        <w:rPr>
          <w:rFonts w:eastAsiaTheme="minorHAnsi"/>
          <w:sz w:val="22"/>
          <w:szCs w:val="22"/>
          <w:lang w:eastAsia="en-US"/>
        </w:rPr>
        <w:t>определились следующим образом: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на 2024 год по доходам в сумме 6268,8 тыс. рублей, по расходам – 6268,8 тыс. рублей с профицитом (дефицитом)  в размере 0 тыс. рублей;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Основные характеристики проекта бюджета </w:t>
      </w:r>
      <w:r>
        <w:rPr>
          <w:color w:val="000000"/>
          <w:sz w:val="22"/>
          <w:szCs w:val="22"/>
        </w:rPr>
        <w:t xml:space="preserve"> сельского поселения </w:t>
      </w:r>
      <w:r>
        <w:rPr>
          <w:rFonts w:eastAsiaTheme="minorHAnsi"/>
          <w:sz w:val="22"/>
          <w:szCs w:val="22"/>
          <w:lang w:eastAsia="en-US"/>
        </w:rPr>
        <w:t>на 2024 год спрогнозированы в следующих объемах:</w:t>
      </w:r>
    </w:p>
    <w:p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тыс.рублей</w:t>
      </w:r>
    </w:p>
    <w:tbl>
      <w:tblPr>
        <w:tblStyle w:val="6"/>
        <w:tblpPr w:leftFromText="180" w:rightFromText="180" w:vertAnchor="text" w:horzAnchor="page" w:tblpX="1905" w:tblpY="25"/>
        <w:tblOverlap w:val="never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1701"/>
        <w:gridCol w:w="3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Оценка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2023 года</w:t>
            </w:r>
          </w:p>
        </w:tc>
        <w:tc>
          <w:tcPr>
            <w:tcW w:w="365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Проект на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2024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1.Доходы - всего,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16889,97</w:t>
            </w:r>
          </w:p>
        </w:tc>
        <w:tc>
          <w:tcPr>
            <w:tcW w:w="365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HAnsi"/>
                <w:b/>
                <w:sz w:val="22"/>
                <w:szCs w:val="22"/>
                <w:lang w:val="ru-RU" w:eastAsia="en-US"/>
              </w:rPr>
            </w:pPr>
            <w:r>
              <w:rPr>
                <w:rFonts w:hint="default" w:eastAsiaTheme="minorHAnsi"/>
                <w:b/>
                <w:sz w:val="22"/>
                <w:szCs w:val="22"/>
                <w:lang w:val="ru-RU" w:eastAsia="en-US"/>
              </w:rPr>
              <w:t>6268,84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2021,9</w:t>
            </w:r>
          </w:p>
        </w:tc>
        <w:tc>
          <w:tcPr>
            <w:tcW w:w="365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HAnsi"/>
                <w:sz w:val="22"/>
                <w:szCs w:val="22"/>
                <w:lang w:val="ru-RU" w:eastAsia="en-US"/>
              </w:rPr>
            </w:pPr>
            <w:r>
              <w:rPr>
                <w:rFonts w:hint="default" w:eastAsiaTheme="minorHAnsi"/>
                <w:sz w:val="22"/>
                <w:szCs w:val="22"/>
                <w:lang w:val="ru-RU" w:eastAsia="en-US"/>
              </w:rPr>
              <w:t>2263,70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270,5</w:t>
            </w:r>
          </w:p>
        </w:tc>
        <w:tc>
          <w:tcPr>
            <w:tcW w:w="365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hint="default" w:eastAsiaTheme="minorHAnsi"/>
                <w:sz w:val="22"/>
                <w:szCs w:val="22"/>
                <w:lang w:val="ru-RU" w:eastAsia="en-US"/>
              </w:rPr>
              <w:t>223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14597,56</w:t>
            </w:r>
          </w:p>
        </w:tc>
        <w:tc>
          <w:tcPr>
            <w:tcW w:w="365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HAnsi"/>
                <w:sz w:val="22"/>
                <w:szCs w:val="22"/>
                <w:lang w:val="ru-RU" w:eastAsia="en-US"/>
              </w:rPr>
            </w:pPr>
            <w:r>
              <w:rPr>
                <w:rFonts w:hint="default" w:eastAsiaTheme="minorHAnsi"/>
                <w:sz w:val="22"/>
                <w:szCs w:val="22"/>
                <w:lang w:val="ru-RU" w:eastAsia="en-US"/>
              </w:rPr>
              <w:t>3782,14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2.Расходы - всего,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17446,9</w:t>
            </w:r>
          </w:p>
        </w:tc>
        <w:tc>
          <w:tcPr>
            <w:tcW w:w="365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Theme="minorHAnsi"/>
                <w:b/>
                <w:sz w:val="22"/>
                <w:szCs w:val="22"/>
                <w:lang w:val="ru-RU" w:eastAsia="en-US"/>
              </w:rPr>
            </w:pPr>
            <w:r>
              <w:rPr>
                <w:rFonts w:hint="default" w:eastAsiaTheme="minorHAnsi"/>
                <w:b/>
                <w:sz w:val="22"/>
                <w:szCs w:val="22"/>
                <w:lang w:val="ru-RU" w:eastAsia="en-US"/>
              </w:rPr>
              <w:t>6268,84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111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3. Дефицит (профицит)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-556,9</w:t>
            </w:r>
          </w:p>
        </w:tc>
        <w:tc>
          <w:tcPr>
            <w:tcW w:w="365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0,0</w:t>
            </w:r>
          </w:p>
        </w:tc>
      </w:tr>
    </w:tbl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>
        <w:rPr>
          <w:rFonts w:eastAsiaTheme="minorHAnsi"/>
          <w:b/>
          <w:sz w:val="24"/>
          <w:szCs w:val="24"/>
          <w:u w:val="single"/>
          <w:lang w:eastAsia="en-US"/>
        </w:rPr>
        <w:t>ДОХОДЫ БЮДЖЕТА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autoSpaceDE w:val="0"/>
        <w:autoSpaceDN w:val="0"/>
        <w:adjustRightInd w:val="0"/>
        <w:spacing w:line="276" w:lineRule="auto"/>
        <w:jc w:val="both"/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>
        <w:rPr>
          <w:rFonts w:eastAsiaTheme="minorHAnsi"/>
          <w:sz w:val="24"/>
          <w:szCs w:val="24"/>
          <w:lang w:eastAsia="en-US"/>
        </w:rPr>
        <w:t xml:space="preserve">   В прогнозе учтены данные главных администраторов доходов бюджета о планируемом поступлении закрепленных доходных источников, данные предоставленные  Межрайонной ИФНС России № 9 по Республике Карелия о прогнозируемом поступлении по отдельным видам налогов, динамика поступлений конкретных доходных источников за ряд предыдущих лет.</w:t>
      </w:r>
      <w:r>
        <w:t xml:space="preserve"> 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Основным бюджетообразующим доходным источником является налог от уплаты акцизов и составляет – 1989,7 тыс. руб.  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Для расчета НДФЛ на 2024 год использовались прогнозные показатели Межрайонной инспекции ФНС России №9 по РК. Норматив отчислений от налога на доходы физ.лиц поселения на 2024 год  составит 2 %.</w:t>
      </w:r>
    </w:p>
    <w:p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Динамика доходов бюджета поселения сложилась следующим образом: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          тыс.рублей</w:t>
      </w:r>
    </w:p>
    <w:tbl>
      <w:tblPr>
        <w:tblStyle w:val="6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8"/>
        <w:gridCol w:w="1701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5528" w:type="dxa"/>
            <w:vMerge w:val="restart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Показатели</w:t>
            </w:r>
          </w:p>
        </w:tc>
        <w:tc>
          <w:tcPr>
            <w:tcW w:w="1701" w:type="dxa"/>
            <w:vMerge w:val="restart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Оценка</w:t>
            </w:r>
          </w:p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2023 года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Прогноз</w:t>
            </w:r>
          </w:p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2024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528" w:type="dxa"/>
            <w:vMerge w:val="continue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 w:val="continue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vMerge w:val="continue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528" w:type="dxa"/>
            <w:shd w:val="clear" w:color="auto" w:fill="FFFF00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, в том числе</w:t>
            </w:r>
          </w:p>
        </w:tc>
        <w:tc>
          <w:tcPr>
            <w:tcW w:w="1701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16889,97</w:t>
            </w:r>
          </w:p>
        </w:tc>
        <w:tc>
          <w:tcPr>
            <w:tcW w:w="2269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6268,8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  <w:shd w:val="clear" w:color="auto" w:fill="FFFF00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Налоговые доходы</w:t>
            </w:r>
          </w:p>
        </w:tc>
        <w:tc>
          <w:tcPr>
            <w:tcW w:w="1701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2021,9</w:t>
            </w:r>
          </w:p>
        </w:tc>
        <w:tc>
          <w:tcPr>
            <w:tcW w:w="2269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2263,7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-налог на доходы физических лиц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84,0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-доходы от уплаты акцизов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1758,9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1989,7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-налог на имущество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130,0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-земельный налог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49,00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-государственная пошлина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  <w:shd w:val="clear" w:color="auto" w:fill="FFFF00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Неналоговые доходы</w:t>
            </w:r>
          </w:p>
        </w:tc>
        <w:tc>
          <w:tcPr>
            <w:tcW w:w="1701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270,5</w:t>
            </w:r>
          </w:p>
        </w:tc>
        <w:tc>
          <w:tcPr>
            <w:tcW w:w="2269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230,00</w:t>
            </w:r>
          </w:p>
        </w:tc>
        <w:tc>
          <w:tcPr>
            <w:tcW w:w="226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-доходы от оказания платных услуг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-доходы от продажи материальных и нематериальных активов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-штраф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5,5</w:t>
            </w: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8" w:type="dxa"/>
            <w:shd w:val="clear" w:color="auto" w:fill="FFFF00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14597,5</w:t>
            </w:r>
          </w:p>
        </w:tc>
        <w:tc>
          <w:tcPr>
            <w:tcW w:w="2269" w:type="dxa"/>
            <w:shd w:val="clear" w:color="auto" w:fill="FFFF00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3782,1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8" w:type="dxa"/>
          </w:tcPr>
          <w:p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Безвозмездные поступления от других бюджетов бюджетной системы РФ спрогнозированы в сумме 3782,10 тыс. рублей, на основании  проекта бюджета  Пудожского муниципального района, в том числе: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-о выделении дотации поселению в сумме 2315,8 тыс. рублей.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rPr>
          <w:rFonts w:hint="default" w:eastAsiaTheme="minorHAnsi"/>
          <w:sz w:val="24"/>
          <w:szCs w:val="24"/>
          <w:lang w:val="ru-RU"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-на реализацию переданных государственных полномочий по воинскому учету – 200,5 тыс. </w:t>
      </w:r>
      <w:r>
        <w:rPr>
          <w:rFonts w:eastAsiaTheme="minorHAnsi"/>
          <w:sz w:val="24"/>
          <w:szCs w:val="24"/>
          <w:lang w:val="ru-RU" w:eastAsia="en-US"/>
        </w:rPr>
        <w:t>р</w:t>
      </w:r>
      <w:r>
        <w:rPr>
          <w:rFonts w:eastAsiaTheme="minorHAnsi"/>
          <w:sz w:val="24"/>
          <w:szCs w:val="24"/>
          <w:lang w:eastAsia="en-US"/>
        </w:rPr>
        <w:t>уб</w:t>
      </w:r>
      <w:r>
        <w:rPr>
          <w:rFonts w:hint="default" w:eastAsiaTheme="minorHAnsi"/>
          <w:sz w:val="24"/>
          <w:szCs w:val="24"/>
          <w:lang w:val="ru-RU" w:eastAsia="en-US"/>
        </w:rPr>
        <w:t>.</w:t>
      </w:r>
    </w:p>
    <w:p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на реализацию по переданным полномочиям – 1066,9 тыс. рублей, в т.ч. (ритуальные услуги – 32,5 тыс. рублей, 14,2 тыс. рублей – противодействие коррупции, 14,2 тыс. рублей – по жилищному законодательству, 649,4 тыс. рублей – для обеспечения водоснабжения СП, 356,7 тыс. рублей – мероприятия в области водного и речного транспорта)</w:t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на частичную компенсацию дополнительных расходов на повышение оплаты труда работников культуры – 196,8 тыс. рублей.</w:t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на выполнение передаваемых государственных  полномочий – 2,0 тыс. рублей</w:t>
      </w:r>
    </w:p>
    <w:p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>
        <w:rPr>
          <w:rFonts w:eastAsiaTheme="minorHAnsi"/>
          <w:b/>
          <w:sz w:val="24"/>
          <w:szCs w:val="24"/>
          <w:u w:val="single"/>
          <w:lang w:eastAsia="en-US"/>
        </w:rPr>
        <w:t>РАСХОДЫ  БЮДЖЕТА</w:t>
      </w:r>
    </w:p>
    <w:p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При формировании расходной части бюджета учтены основные направления бюджетной политики и налоговой политики Кубовского сельского поселения на 2024 год.  Проект бюджета сельского поселения на 2024 год сформирован сбалансированным.</w:t>
      </w:r>
    </w:p>
    <w:p>
      <w:pPr>
        <w:ind w:firstLine="284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  Структура расходов бюджета Кубовского </w:t>
      </w:r>
      <w:r>
        <w:rPr>
          <w:rFonts w:eastAsiaTheme="minorHAnsi"/>
          <w:sz w:val="24"/>
          <w:szCs w:val="24"/>
          <w:lang w:eastAsia="en-US"/>
        </w:rPr>
        <w:t xml:space="preserve">сельского поселения </w:t>
      </w:r>
      <w:r>
        <w:rPr>
          <w:sz w:val="24"/>
          <w:szCs w:val="24"/>
        </w:rPr>
        <w:t>на 2024 год в сравнении с 2023 годом по разделам классификации расходов бюджетов:</w:t>
      </w:r>
    </w:p>
    <w:p>
      <w:pPr>
        <w:ind w:firstLine="284"/>
        <w:jc w:val="right"/>
        <w:rPr>
          <w:sz w:val="22"/>
          <w:szCs w:val="22"/>
        </w:rPr>
      </w:pPr>
      <w:r>
        <w:rPr>
          <w:sz w:val="22"/>
          <w:szCs w:val="22"/>
        </w:rPr>
        <w:t>(тыс. рублей)</w:t>
      </w:r>
    </w:p>
    <w:tbl>
      <w:tblPr>
        <w:tblStyle w:val="3"/>
        <w:tblW w:w="9528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14"/>
        <w:gridCol w:w="5737"/>
        <w:gridCol w:w="1701"/>
        <w:gridCol w:w="127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21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Утверждено на 2023 год  (с учетом поправок на 01.10.2023г)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 решения на 2024 год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2961,32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2201,9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1565,4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1492,3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681,8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12755,7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1548,5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143,9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2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17690,1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6268,8</w:t>
            </w:r>
          </w:p>
        </w:tc>
      </w:tr>
    </w:tbl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0100 «Общегосударственные вопросы»</w:t>
      </w:r>
    </w:p>
    <w:p>
      <w:pPr>
        <w:jc w:val="center"/>
        <w:rPr>
          <w:b/>
          <w:sz w:val="24"/>
          <w:szCs w:val="24"/>
        </w:rPr>
      </w:pP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органам местного самоуправления оплата труда и начисления на оплату труда предусмотрены в соответствии со штатными расписаниями с учетом нормативов, установленных постановлением Правительства Республики Карелия от 18.06.2012г № 190-П «Об установлении нормативов формирования расходов на оплату труда депутатов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Расходы по данному разделу предусмотрены в сумме 2201,9 тыс.рублей, в том числе: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-на содержание главы поселения (на заработную плату со страховыми взносами) в сумме 987,6 тыс.рублей.</w:t>
      </w:r>
    </w:p>
    <w:p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на содержание аппарата администрации поселения (на заработную плату со страховыми взносами  976,3 тыс.рублей,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 Резервный фонд   1,0 тыс. руб.,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прочие услуги товаров, работ и услуг 101,3 тыс. руб.,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коммунальные услуги – 115,00 тыс. руб.,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уплата налогов – 13,3 тыс. руб.,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на выполнение передаваемых полномочий – 2,0 тыс. руб.</w:t>
      </w: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0200 «Национальная оборона»</w:t>
      </w:r>
    </w:p>
    <w:p>
      <w:pPr>
        <w:jc w:val="center"/>
        <w:rPr>
          <w:b/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Расходы на осуществление первичного воинского учета в сумме 200,5 тыс.рублей.</w:t>
      </w:r>
      <w:r>
        <w:t xml:space="preserve">  на </w:t>
      </w:r>
      <w:r>
        <w:rPr>
          <w:sz w:val="24"/>
          <w:szCs w:val="24"/>
        </w:rPr>
        <w:t xml:space="preserve">фонд оплаты труда с страховыми взносами,  </w:t>
      </w:r>
    </w:p>
    <w:p>
      <w:pPr>
        <w:jc w:val="both"/>
        <w:rPr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0300 «Национальная безопасность и правоохранительная деятельность»</w:t>
      </w:r>
    </w:p>
    <w:p>
      <w:pPr>
        <w:ind w:left="360"/>
        <w:jc w:val="center"/>
        <w:rPr>
          <w:b/>
          <w:sz w:val="24"/>
          <w:szCs w:val="24"/>
        </w:rPr>
      </w:pPr>
    </w:p>
    <w:p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0400 «Дорожное хозяйство»</w:t>
      </w:r>
    </w:p>
    <w:p>
      <w:pPr>
        <w:ind w:left="360"/>
        <w:jc w:val="center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Расходы по данному разделу предусмотрены – 1492,3 тыс. руб.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Отдельные мероприятия в области морского и речного транспорта – 356,7 тыс.рублей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по содержанию дорог в сумме 1135,6 тыс.рублей. </w:t>
      </w:r>
    </w:p>
    <w:p>
      <w:pPr>
        <w:jc w:val="both"/>
        <w:rPr>
          <w:sz w:val="24"/>
          <w:szCs w:val="24"/>
        </w:rPr>
      </w:pPr>
    </w:p>
    <w:p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0500 «Жилищно-коммунальное хозяйство»</w:t>
      </w:r>
    </w:p>
    <w:p>
      <w:pPr>
        <w:ind w:left="360"/>
        <w:jc w:val="center"/>
        <w:rPr>
          <w:b/>
          <w:sz w:val="24"/>
          <w:szCs w:val="24"/>
        </w:rPr>
      </w:pPr>
    </w:p>
    <w:p>
      <w:pPr>
        <w:pStyle w:val="1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Расходы по данному разделу предусмотрены – 681,7 тыс. руб.</w:t>
      </w:r>
    </w:p>
    <w:p>
      <w:pPr>
        <w:pStyle w:val="1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функций органами местного самоуправления по переданным полномочиям на организацию водоснабжения -649,3 тыс. руб.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мест захоронения– 32,4 тыс.руб.</w:t>
      </w:r>
    </w:p>
    <w:p>
      <w:pPr>
        <w:ind w:left="360"/>
        <w:jc w:val="center"/>
        <w:rPr>
          <w:b/>
          <w:sz w:val="24"/>
          <w:szCs w:val="24"/>
        </w:rPr>
      </w:pPr>
    </w:p>
    <w:p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0800 «Культура»</w:t>
      </w:r>
    </w:p>
    <w:p>
      <w:pPr>
        <w:ind w:left="360"/>
        <w:jc w:val="center"/>
        <w:rPr>
          <w:b/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Расходы на содержание учреждений культуры в сумме  1548,5 тыс.рублей</w:t>
      </w:r>
    </w:p>
    <w:p>
      <w:pPr>
        <w:rPr>
          <w:b/>
          <w:sz w:val="24"/>
          <w:szCs w:val="24"/>
        </w:rPr>
      </w:pPr>
    </w:p>
    <w:p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1000 « Пенсионное обеспечение»</w:t>
      </w:r>
    </w:p>
    <w:p>
      <w:pPr>
        <w:ind w:left="360"/>
        <w:jc w:val="center"/>
        <w:rPr>
          <w:b/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Расходы  в сумме  0 тыс.рублей.</w:t>
      </w:r>
      <w:r>
        <w:t xml:space="preserve"> </w:t>
      </w:r>
      <w:r>
        <w:rPr>
          <w:sz w:val="24"/>
          <w:szCs w:val="24"/>
        </w:rPr>
        <w:t xml:space="preserve">в части доплаты к пенсии бывшим муниципальным служащим, в связи с отсутствием лиц, которым назначаются доплаты к пенсии. 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                              Раздел 1400 Межбюджетные трансферты»</w:t>
      </w:r>
    </w:p>
    <w:p>
      <w:pPr>
        <w:ind w:left="360"/>
        <w:jc w:val="both"/>
        <w:rPr>
          <w:b/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Межбюджетные трансферты, выделяемые из бюджета Кубовского сельского поселения на финансирование расходов, связанных с передачей полномочий органам местного самоуправления муниципального района в 2024 году предусмотрены  на расходы по формированию, исполнению бюджета поселения в сумме 143,8 тыс.рублей.</w:t>
      </w:r>
      <w:bookmarkStart w:id="0" w:name="_GoBack"/>
      <w:bookmarkEnd w:id="0"/>
      <w:r>
        <w:rPr>
          <w:sz w:val="22"/>
          <w:szCs w:val="22"/>
        </w:rPr>
        <w:t xml:space="preserve">  </w:t>
      </w:r>
    </w:p>
    <w:sectPr>
      <w:pgSz w:w="11906" w:h="16838"/>
      <w:pgMar w:top="734" w:right="850" w:bottom="704" w:left="11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A7CAE"/>
    <w:rsid w:val="00023502"/>
    <w:rsid w:val="000258F6"/>
    <w:rsid w:val="00035AE5"/>
    <w:rsid w:val="00057F6F"/>
    <w:rsid w:val="00075410"/>
    <w:rsid w:val="0009114F"/>
    <w:rsid w:val="000A252C"/>
    <w:rsid w:val="000B588B"/>
    <w:rsid w:val="000C77E8"/>
    <w:rsid w:val="000E47E0"/>
    <w:rsid w:val="0010002D"/>
    <w:rsid w:val="00115D4D"/>
    <w:rsid w:val="00121202"/>
    <w:rsid w:val="00133AF5"/>
    <w:rsid w:val="0013457C"/>
    <w:rsid w:val="00146F40"/>
    <w:rsid w:val="00153827"/>
    <w:rsid w:val="00174476"/>
    <w:rsid w:val="001A4064"/>
    <w:rsid w:val="001A6C75"/>
    <w:rsid w:val="001B28A2"/>
    <w:rsid w:val="001B298D"/>
    <w:rsid w:val="001F417B"/>
    <w:rsid w:val="002019DC"/>
    <w:rsid w:val="00201F03"/>
    <w:rsid w:val="002025F0"/>
    <w:rsid w:val="00240D8A"/>
    <w:rsid w:val="002450D3"/>
    <w:rsid w:val="00256D56"/>
    <w:rsid w:val="00265F12"/>
    <w:rsid w:val="002862FE"/>
    <w:rsid w:val="002A7CAE"/>
    <w:rsid w:val="002D3589"/>
    <w:rsid w:val="0030211A"/>
    <w:rsid w:val="00315820"/>
    <w:rsid w:val="00317034"/>
    <w:rsid w:val="00326167"/>
    <w:rsid w:val="003449FF"/>
    <w:rsid w:val="00352CBD"/>
    <w:rsid w:val="00360D08"/>
    <w:rsid w:val="0036325E"/>
    <w:rsid w:val="00364130"/>
    <w:rsid w:val="00375375"/>
    <w:rsid w:val="003B2CAA"/>
    <w:rsid w:val="003C19E2"/>
    <w:rsid w:val="003C4E92"/>
    <w:rsid w:val="003E0BA7"/>
    <w:rsid w:val="004011FC"/>
    <w:rsid w:val="0040438E"/>
    <w:rsid w:val="00410F15"/>
    <w:rsid w:val="0041497C"/>
    <w:rsid w:val="004229EC"/>
    <w:rsid w:val="0043270D"/>
    <w:rsid w:val="0045243B"/>
    <w:rsid w:val="00490945"/>
    <w:rsid w:val="004A7783"/>
    <w:rsid w:val="004B2BC9"/>
    <w:rsid w:val="004B773A"/>
    <w:rsid w:val="004C02BD"/>
    <w:rsid w:val="004D114C"/>
    <w:rsid w:val="004D15C9"/>
    <w:rsid w:val="00501B28"/>
    <w:rsid w:val="00503986"/>
    <w:rsid w:val="00516723"/>
    <w:rsid w:val="00516F0B"/>
    <w:rsid w:val="005209C8"/>
    <w:rsid w:val="005277E9"/>
    <w:rsid w:val="00532F99"/>
    <w:rsid w:val="00563A01"/>
    <w:rsid w:val="00586C12"/>
    <w:rsid w:val="00594A12"/>
    <w:rsid w:val="005A148B"/>
    <w:rsid w:val="005B3E70"/>
    <w:rsid w:val="005C12C1"/>
    <w:rsid w:val="005C169A"/>
    <w:rsid w:val="005D0E11"/>
    <w:rsid w:val="005E68D8"/>
    <w:rsid w:val="005F1C02"/>
    <w:rsid w:val="005F7198"/>
    <w:rsid w:val="00600298"/>
    <w:rsid w:val="00614811"/>
    <w:rsid w:val="006155DB"/>
    <w:rsid w:val="006239D5"/>
    <w:rsid w:val="0063423B"/>
    <w:rsid w:val="006670A4"/>
    <w:rsid w:val="0068307D"/>
    <w:rsid w:val="006949A3"/>
    <w:rsid w:val="006B5D00"/>
    <w:rsid w:val="006C1164"/>
    <w:rsid w:val="00703921"/>
    <w:rsid w:val="00717F9D"/>
    <w:rsid w:val="0073437A"/>
    <w:rsid w:val="007546F8"/>
    <w:rsid w:val="00767F01"/>
    <w:rsid w:val="00793984"/>
    <w:rsid w:val="0079570E"/>
    <w:rsid w:val="007B6709"/>
    <w:rsid w:val="007B7F37"/>
    <w:rsid w:val="007C109C"/>
    <w:rsid w:val="00802415"/>
    <w:rsid w:val="00820C8B"/>
    <w:rsid w:val="00820ED9"/>
    <w:rsid w:val="008743AA"/>
    <w:rsid w:val="0088588D"/>
    <w:rsid w:val="00896C85"/>
    <w:rsid w:val="008A5B61"/>
    <w:rsid w:val="008C23DD"/>
    <w:rsid w:val="00926375"/>
    <w:rsid w:val="00927FF0"/>
    <w:rsid w:val="009355CD"/>
    <w:rsid w:val="00937C99"/>
    <w:rsid w:val="009433AA"/>
    <w:rsid w:val="00967AF9"/>
    <w:rsid w:val="00967D74"/>
    <w:rsid w:val="009750E2"/>
    <w:rsid w:val="00985511"/>
    <w:rsid w:val="0099412A"/>
    <w:rsid w:val="009B1294"/>
    <w:rsid w:val="009C4048"/>
    <w:rsid w:val="009F733D"/>
    <w:rsid w:val="00A1155C"/>
    <w:rsid w:val="00A40CD0"/>
    <w:rsid w:val="00A465D1"/>
    <w:rsid w:val="00A53B2D"/>
    <w:rsid w:val="00A846F1"/>
    <w:rsid w:val="00A92F39"/>
    <w:rsid w:val="00A95580"/>
    <w:rsid w:val="00AB0C77"/>
    <w:rsid w:val="00AB2F3D"/>
    <w:rsid w:val="00AE4F50"/>
    <w:rsid w:val="00AF62F0"/>
    <w:rsid w:val="00B05177"/>
    <w:rsid w:val="00B23C2C"/>
    <w:rsid w:val="00B77EAB"/>
    <w:rsid w:val="00B82F6D"/>
    <w:rsid w:val="00BA4616"/>
    <w:rsid w:val="00BB39AA"/>
    <w:rsid w:val="00BC2464"/>
    <w:rsid w:val="00BE04EA"/>
    <w:rsid w:val="00BE1F73"/>
    <w:rsid w:val="00BE2664"/>
    <w:rsid w:val="00C01BD1"/>
    <w:rsid w:val="00C12E4A"/>
    <w:rsid w:val="00C23D1C"/>
    <w:rsid w:val="00C251BE"/>
    <w:rsid w:val="00C25B19"/>
    <w:rsid w:val="00C358ED"/>
    <w:rsid w:val="00C37F16"/>
    <w:rsid w:val="00C55D67"/>
    <w:rsid w:val="00C60EFD"/>
    <w:rsid w:val="00C62C81"/>
    <w:rsid w:val="00CA1F0A"/>
    <w:rsid w:val="00CB2DA3"/>
    <w:rsid w:val="00CC115F"/>
    <w:rsid w:val="00CC3971"/>
    <w:rsid w:val="00CE0EDD"/>
    <w:rsid w:val="00CE60C9"/>
    <w:rsid w:val="00CF29A9"/>
    <w:rsid w:val="00D01ACB"/>
    <w:rsid w:val="00D0789A"/>
    <w:rsid w:val="00D1301B"/>
    <w:rsid w:val="00D15CFD"/>
    <w:rsid w:val="00D230AF"/>
    <w:rsid w:val="00D44ED1"/>
    <w:rsid w:val="00D63582"/>
    <w:rsid w:val="00DE2D66"/>
    <w:rsid w:val="00DF5BB2"/>
    <w:rsid w:val="00E12FD6"/>
    <w:rsid w:val="00E141D6"/>
    <w:rsid w:val="00E145E7"/>
    <w:rsid w:val="00E37C1A"/>
    <w:rsid w:val="00E60C77"/>
    <w:rsid w:val="00E65D32"/>
    <w:rsid w:val="00E826B0"/>
    <w:rsid w:val="00EB1CE4"/>
    <w:rsid w:val="00EB779E"/>
    <w:rsid w:val="00EC5E69"/>
    <w:rsid w:val="00ED20D6"/>
    <w:rsid w:val="00EE58DA"/>
    <w:rsid w:val="00EF124C"/>
    <w:rsid w:val="00F15571"/>
    <w:rsid w:val="00F35DEE"/>
    <w:rsid w:val="00F4558B"/>
    <w:rsid w:val="00F45E17"/>
    <w:rsid w:val="00F54487"/>
    <w:rsid w:val="00F56728"/>
    <w:rsid w:val="00FB0907"/>
    <w:rsid w:val="00FE3184"/>
    <w:rsid w:val="00FE6AA1"/>
    <w:rsid w:val="00FF4667"/>
    <w:rsid w:val="6AD4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8"/>
    <w:uiPriority w:val="0"/>
    <w:pPr>
      <w:spacing w:after="120"/>
    </w:pPr>
  </w:style>
  <w:style w:type="paragraph" w:styleId="5">
    <w:name w:val="Body Text Indent"/>
    <w:basedOn w:val="1"/>
    <w:link w:val="7"/>
    <w:uiPriority w:val="0"/>
    <w:pPr>
      <w:spacing w:after="120"/>
      <w:ind w:left="283"/>
    </w:p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с отступом Знак"/>
    <w:basedOn w:val="2"/>
    <w:link w:val="5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">
    <w:name w:val="Основной текст Знак"/>
    <w:basedOn w:val="2"/>
    <w:link w:val="4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9">
    <w:name w:val="ConsPlusNormal"/>
    <w:link w:val="10"/>
    <w:uiPriority w:val="0"/>
    <w:pPr>
      <w:spacing w:after="0" w:line="240" w:lineRule="auto"/>
      <w:ind w:firstLine="720"/>
    </w:pPr>
    <w:rPr>
      <w:rFonts w:ascii="Arial" w:hAnsi="Arial" w:eastAsia="Times New Roman" w:cs="Times New Roman"/>
      <w:snapToGrid w:val="0"/>
      <w:sz w:val="20"/>
      <w:szCs w:val="20"/>
      <w:lang w:val="ru-RU" w:eastAsia="ru-RU" w:bidi="ar-SA"/>
    </w:rPr>
  </w:style>
  <w:style w:type="character" w:customStyle="1" w:styleId="10">
    <w:name w:val="ConsPlusNormal Знак"/>
    <w:link w:val="9"/>
    <w:uiPriority w:val="0"/>
    <w:rPr>
      <w:rFonts w:ascii="Arial" w:hAnsi="Arial" w:eastAsia="Times New Roman" w:cs="Times New Roman"/>
      <w:snapToGrid w:val="0"/>
      <w:sz w:val="20"/>
      <w:szCs w:val="20"/>
      <w:lang w:eastAsia="ru-RU"/>
    </w:rPr>
  </w:style>
  <w:style w:type="paragraph" w:customStyle="1" w:styleId="11">
    <w:name w:val="0"/>
    <w:basedOn w:val="1"/>
    <w:link w:val="12"/>
    <w:qFormat/>
    <w:uiPriority w:val="0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12">
    <w:name w:val="0 Знак"/>
    <w:basedOn w:val="2"/>
    <w:link w:val="11"/>
    <w:uiPriority w:val="0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9F06-6D89-4855-A12C-4EF6009BA6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1139</Words>
  <Characters>6498</Characters>
  <Lines>54</Lines>
  <Paragraphs>15</Paragraphs>
  <TotalTime>1702</TotalTime>
  <ScaleCrop>false</ScaleCrop>
  <LinksUpToDate>false</LinksUpToDate>
  <CharactersWithSpaces>7622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2017-11-15T06:16:00Z</dcterms:created>
  <dc:creator>user01</dc:creator>
  <cp:lastModifiedBy>User</cp:lastModifiedBy>
  <cp:lastPrinted>2023-11-17T10:48:51Z</cp:lastPrinted>
  <dcterms:modified xsi:type="dcterms:W3CDTF">2023-11-17T10:50:57Z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4D7DA8B820994C0A94E6710D6D678A6A_12</vt:lpwstr>
  </property>
</Properties>
</file>